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rPr>
          <w:rFonts w:hint="eastAsia" w:hAnsi="黑体" w:cs="黑体"/>
        </w:rPr>
      </w:pPr>
      <w:bookmarkStart w:id="150" w:name="_GoBack"/>
      <w:bookmarkEnd w:id="150"/>
    </w:p>
    <w:p>
      <w:pPr>
        <w:pStyle w:val="125"/>
        <w:framePr w:wrap="around"/>
        <w:rPr>
          <w:rFonts w:hAnsi="黑体" w:cs="黑体"/>
        </w:rPr>
      </w:pPr>
      <w:r>
        <w:rPr>
          <w:rFonts w:hint="eastAsia" w:hAnsi="黑体" w:cs="黑体"/>
        </w:rPr>
        <w:t>ICS 13.020</w:t>
      </w:r>
    </w:p>
    <w:p>
      <w:pPr>
        <w:pStyle w:val="125"/>
        <w:framePr w:wrap="around"/>
        <w:rPr>
          <w:rFonts w:ascii="Times New Roman"/>
        </w:rPr>
      </w:pPr>
      <w:r>
        <w:rPr>
          <w:rFonts w:hint="eastAsia" w:hAnsi="黑体" w:cs="黑体"/>
        </w:rPr>
        <w:t>CCS Z 00</w:t>
      </w:r>
    </w:p>
    <w:tbl>
      <w:tblPr>
        <w:tblStyle w:val="34"/>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tcBorders>
              <w:top w:val="nil"/>
              <w:left w:val="nil"/>
              <w:bottom w:val="nil"/>
              <w:right w:val="nil"/>
            </w:tcBorders>
          </w:tcPr>
          <w:p>
            <w:pPr>
              <w:pStyle w:val="125"/>
              <w:framePr w:wrap="around"/>
              <w:rPr>
                <w:rFonts w:ascii="Times New Roman"/>
              </w:rPr>
            </w:pPr>
          </w:p>
        </w:tc>
      </w:tr>
    </w:tbl>
    <w:p>
      <w:pPr>
        <w:pStyle w:val="112"/>
        <w:framePr w:wrap="around"/>
        <w:rPr>
          <w:rFonts w:ascii="Times New Roman" w:hAnsi="Times New Roman"/>
        </w:rPr>
      </w:pPr>
      <w:r>
        <w:rPr>
          <w:rFonts w:hint="eastAsia" w:ascii="Times New Roman" w:hAnsi="Times New Roman"/>
        </w:rPr>
        <w:t>团体标准</w:t>
      </w:r>
    </w:p>
    <w:p>
      <w:pPr>
        <w:pStyle w:val="49"/>
        <w:framePr w:wrap="around"/>
        <w:rPr>
          <w:rFonts w:ascii="Times New Roman"/>
        </w:rPr>
      </w:pPr>
      <w:r>
        <w:rPr>
          <w:rFonts w:hint="eastAsia" w:hAnsi="黑体" w:cs="黑体"/>
        </w:rPr>
        <w:t>T/XXX XXX-20XX</w:t>
      </w:r>
    </w:p>
    <w:tbl>
      <w:tblPr>
        <w:tblStyle w:val="34"/>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8"/>
              <w:framePr w:wrap="around"/>
              <w:wordWrap w:val="0"/>
              <w:ind w:right="630"/>
              <w:rPr>
                <w:rFonts w:ascii="Times New Roman"/>
              </w:rPr>
            </w:pPr>
          </w:p>
        </w:tc>
      </w:tr>
    </w:tbl>
    <w:p>
      <w:pPr>
        <w:pStyle w:val="49"/>
        <w:framePr w:wrap="around"/>
        <w:rPr>
          <w:rFonts w:ascii="Times New Roman"/>
        </w:rPr>
      </w:pPr>
    </w:p>
    <w:p>
      <w:pPr>
        <w:pStyle w:val="49"/>
        <w:framePr w:wrap="around"/>
        <w:rPr>
          <w:rFonts w:ascii="Times New Roman"/>
        </w:rPr>
      </w:pPr>
    </w:p>
    <w:p>
      <w:pPr>
        <w:pStyle w:val="80"/>
        <w:framePr w:wrap="around" w:x="1306" w:y="5911"/>
        <w:rPr>
          <w:rFonts w:ascii="Times New Roman"/>
          <w:sz w:val="44"/>
          <w:szCs w:val="44"/>
        </w:rPr>
      </w:pPr>
      <w:r>
        <w:rPr>
          <w:rFonts w:ascii="Times New Roman"/>
        </w:rPr>
        <w:t>绿色</w:t>
      </w:r>
      <w:r>
        <w:rPr>
          <w:rFonts w:hint="eastAsia" w:ascii="Times New Roman"/>
          <w:lang w:val="en-US" w:eastAsia="zh-CN"/>
        </w:rPr>
        <w:t>低碳</w:t>
      </w:r>
      <w:r>
        <w:rPr>
          <w:rFonts w:ascii="Times New Roman"/>
        </w:rPr>
        <w:t>产业认定行业技术规范</w:t>
      </w:r>
      <w:r>
        <w:rPr>
          <w:rFonts w:hint="eastAsia" w:ascii="Times New Roman"/>
          <w:lang w:eastAsia="zh-CN"/>
        </w:rPr>
        <w:t>充电、换电设施设备制造与运营</w:t>
      </w:r>
    </w:p>
    <w:p>
      <w:pPr>
        <w:pStyle w:val="81"/>
        <w:framePr w:wrap="around" w:x="1306" w:y="5911"/>
        <w:rPr>
          <w:rFonts w:hint="eastAsia" w:ascii="黑体" w:hAnsi="黑体" w:cs="黑体"/>
          <w:spacing w:val="-20"/>
        </w:rPr>
      </w:pPr>
      <w:r>
        <w:rPr>
          <w:rFonts w:hint="eastAsia" w:ascii="黑体" w:hAnsi="黑体" w:cs="黑体"/>
          <w:spacing w:val="-20"/>
        </w:rPr>
        <w:t xml:space="preserve">Technical specifications of </w:t>
      </w:r>
      <w:r>
        <w:rPr>
          <w:rFonts w:hint="eastAsia" w:ascii="黑体" w:hAnsi="黑体" w:cs="黑体"/>
          <w:spacing w:val="-20"/>
          <w:lang w:val="en-US" w:eastAsia="zh-CN"/>
        </w:rPr>
        <w:t>s</w:t>
      </w:r>
      <w:r>
        <w:rPr>
          <w:rFonts w:hint="eastAsia" w:ascii="黑体" w:hAnsi="黑体" w:cs="黑体"/>
          <w:spacing w:val="-20"/>
        </w:rPr>
        <w:t>henzhen</w:t>
      </w:r>
      <w:r>
        <w:rPr>
          <w:rFonts w:hint="eastAsia" w:ascii="黑体" w:hAnsi="黑体" w:cs="黑体"/>
          <w:spacing w:val="-20"/>
          <w:lang w:val="en-US" w:eastAsia="zh-CN"/>
        </w:rPr>
        <w:t xml:space="preserve"> </w:t>
      </w:r>
      <w:r>
        <w:rPr>
          <w:rFonts w:hint="eastAsia" w:ascii="黑体" w:hAnsi="黑体" w:cs="黑体"/>
          <w:spacing w:val="-20"/>
        </w:rPr>
        <w:t xml:space="preserve">green </w:t>
      </w:r>
      <w:r>
        <w:rPr>
          <w:rFonts w:hint="eastAsia" w:ascii="黑体" w:hAnsi="黑体" w:cs="黑体"/>
          <w:spacing w:val="-20"/>
          <w:lang w:val="en-US" w:eastAsia="zh-CN"/>
        </w:rPr>
        <w:t xml:space="preserve">and Low-carbon </w:t>
      </w:r>
      <w:r>
        <w:rPr>
          <w:rFonts w:hint="eastAsia" w:ascii="黑体" w:hAnsi="黑体" w:cs="黑体"/>
          <w:spacing w:val="-20"/>
        </w:rPr>
        <w:t>industr</w:t>
      </w:r>
      <w:r>
        <w:rPr>
          <w:rFonts w:hint="eastAsia" w:ascii="黑体" w:hAnsi="黑体" w:cs="黑体"/>
          <w:spacing w:val="-20"/>
          <w:lang w:val="en-US" w:eastAsia="zh-CN"/>
        </w:rPr>
        <w:t>ies</w:t>
      </w:r>
      <w:r>
        <w:rPr>
          <w:rFonts w:hint="eastAsia" w:ascii="黑体" w:hAnsi="黑体" w:cs="黑体"/>
          <w:spacing w:val="-20"/>
        </w:rPr>
        <w:t xml:space="preserve"> identification</w:t>
      </w:r>
    </w:p>
    <w:tbl>
      <w:tblPr>
        <w:tblStyle w:val="34"/>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81"/>
              <w:framePr w:wrap="around" w:x="1306" w:y="5911"/>
              <w:ind w:firstLine="360"/>
              <w:rPr>
                <w:rFonts w:hint="eastAsia" w:ascii="黑体" w:hAnsi="黑体" w:cs="黑体"/>
                <w:spacing w:val="-20"/>
              </w:rPr>
            </w:pPr>
            <w:r>
              <w:rPr>
                <w:rFonts w:hint="eastAsia" w:ascii="黑体" w:hAnsi="黑体" w:cs="黑体"/>
                <w:spacing w:val="-20"/>
              </w:rPr>
              <w:t>Manufacturing and operation of charging and changing facilities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84"/>
              <w:framePr w:wrap="around" w:x="1306" w:y="5911"/>
              <w:rPr>
                <w:rFonts w:ascii="Times New Roman"/>
              </w:rPr>
            </w:pPr>
            <w:r>
              <w:rPr>
                <w:rFonts w:hint="eastAsia" w:ascii="黑体" w:hAnsi="黑体" w:eastAsia="黑体" w:cs="黑体"/>
                <w:sz w:val="28"/>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r>
              <w:rPr>
                <w:rFonts w:hint="eastAsia" w:ascii="黑体" w:hAnsi="黑体" w:eastAsia="黑体" w:cs="黑体"/>
                <w:sz w:val="28"/>
                <w:lang w:eastAsia="zh-CN"/>
              </w:rPr>
              <w:t>（征求意见稿）</w:t>
            </w:r>
          </w:p>
        </w:tc>
      </w:tr>
    </w:tbl>
    <w:p>
      <w:pPr>
        <w:pStyle w:val="132"/>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3"/>
        <w:framePr w:wrap="around" w:hAnchor="page" w:x="6678" w:y="14045"/>
      </w:pPr>
      <w:r>
        <w:rPr>
          <w:rFonts w:hint="eastAsia" w:ascii="黑体" w:hAnsi="黑体" w:cs="黑体"/>
        </w:rPr>
        <w:t>XXXX—XX—XX实施</w:t>
      </w:r>
    </w:p>
    <w:p>
      <w:pPr>
        <w:pStyle w:val="113"/>
        <w:framePr w:h="781" w:hRule="exact" w:wrap="around" w:x="2156" w:y="15046"/>
        <w:rPr>
          <w:rFonts w:ascii="Times New Roman"/>
        </w:rPr>
      </w:pPr>
      <w:r>
        <w:rPr>
          <w:rFonts w:hint="eastAsia" w:ascii="Times New Roman"/>
          <w:lang w:val="en-US" w:eastAsia="zh-CN"/>
        </w:rPr>
        <w:t>深圳市</w:t>
      </w:r>
      <w:r>
        <w:rPr>
          <w:rFonts w:hint="eastAsia" w:ascii="Times New Roman"/>
        </w:rPr>
        <w:t>深圳标准促进会</w:t>
      </w:r>
      <w:r>
        <w:rPr>
          <w:rFonts w:ascii="Times New Roman"/>
        </w:rPr>
        <w:t>   </w:t>
      </w:r>
      <w:r>
        <w:rPr>
          <w:rStyle w:val="75"/>
          <w:rFonts w:ascii="Times New Roman"/>
        </w:rPr>
        <w:t>发布</w:t>
      </w:r>
    </w:p>
    <w:p>
      <w:pPr>
        <w:pStyle w:val="24"/>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2"/>
        <w:rPr>
          <w:rFonts w:ascii="Times New Roman"/>
        </w:rPr>
      </w:pPr>
      <w:bookmarkStart w:id="0" w:name="_Toc82684134"/>
      <w:bookmarkStart w:id="1" w:name="_Toc52098618"/>
      <w:bookmarkStart w:id="2" w:name="_Toc26162"/>
      <w:bookmarkStart w:id="3" w:name="_Toc102992444"/>
      <w:bookmarkStart w:id="4" w:name="_Toc28394"/>
      <w:bookmarkStart w:id="5" w:name="_Toc80867245"/>
      <w:bookmarkStart w:id="6" w:name="_Toc21858"/>
      <w:bookmarkStart w:id="7" w:name="_Toc80794396"/>
      <w:bookmarkStart w:id="8" w:name="_Toc17711"/>
      <w:bookmarkStart w:id="9" w:name="_Toc30742"/>
      <w:bookmarkStart w:id="10" w:name="_Toc82157001"/>
      <w:bookmarkStart w:id="11" w:name="_Toc80953767"/>
      <w:bookmarkStart w:id="12" w:name="_Toc32692"/>
      <w:bookmarkStart w:id="13" w:name="_Toc118282033"/>
      <w:bookmarkStart w:id="14" w:name="_Toc26142"/>
      <w:bookmarkStart w:id="15" w:name="_Toc55807222"/>
      <w:bookmarkStart w:id="16" w:name="_Toc25224"/>
      <w:bookmarkStart w:id="17" w:name="_Toc80954701"/>
      <w:bookmarkStart w:id="18" w:name="_Toc80887602"/>
      <w:bookmarkStart w:id="19" w:name="_Toc22075"/>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15:color w:val="DBDBDB"/>
        <w:docPartObj>
          <w:docPartGallery w:val="Table of Contents"/>
          <w:docPartUnique/>
        </w:docPartObj>
      </w:sdtPr>
      <w:sdtEndPr>
        <w:rPr>
          <w:rFonts w:hint="eastAsia" w:ascii="宋体" w:hAnsi="宋体" w:eastAsia="宋体" w:cs="宋体"/>
          <w:b/>
          <w:szCs w:val="24"/>
        </w:rPr>
      </w:sdtEndPr>
      <w:sdtContent>
        <w:p>
          <w:pPr>
            <w:pStyle w:val="20"/>
            <w:spacing w:before="78" w:after="78"/>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"1-2" \h \u </w:instrText>
          </w:r>
          <w:r>
            <w:rPr>
              <w:rFonts w:hint="eastAsia" w:ascii="宋体" w:hAnsi="宋体" w:eastAsia="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_Toc31958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_Toc31958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_Toc2704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_Toc2704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_Toc22667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_Toc22667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_Toc26641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_Toc26641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_Toc18890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ascii="宋体" w:hAnsi="宋体" w:eastAsia="宋体" w:cs="宋体"/>
            </w:rPr>
            <w:t>评价总则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_Toc18890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_Toc15795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_Toc15795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_Toc30960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基本要求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_Toc30960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_Toc7105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绿色低碳产业企业</w:t>
          </w:r>
          <w:r>
            <w:rPr>
              <w:rFonts w:hint="eastAsia" w:ascii="宋体" w:hAnsi="宋体" w:eastAsia="宋体" w:cs="宋体"/>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_Toc7105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_Toc10594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_Toc10594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_Toc817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综合评价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_Toc817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_Toc32476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绿色低碳产业项目</w:t>
          </w:r>
          <w:r>
            <w:rPr>
              <w:rFonts w:hint="eastAsia" w:ascii="宋体" w:hAnsi="宋体" w:eastAsia="宋体" w:cs="宋体"/>
              <w:lang w:val="en-US" w:eastAsia="zh-CN"/>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_Toc32476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_Toc32004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_Toc32004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_Toc18888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综合评价指标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_Toc18888 \h </w:instrText>
          </w:r>
          <w:r>
            <w:rPr>
              <w:rFonts w:hint="eastAsia" w:ascii="宋体" w:hAnsi="宋体" w:eastAsia="宋体" w:cs="宋体"/>
            </w:rPr>
            <w:fldChar w:fldCharType="separate"/>
          </w:r>
          <w:r>
            <w:rPr>
              <w:rFonts w:hint="eastAsia" w:ascii="宋体" w:hAnsi="宋体" w:eastAsia="宋体" w:cs="宋体"/>
            </w:rPr>
            <w:t>12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_Toc32186 </w:instrText>
          </w:r>
          <w:r>
            <w:rPr>
              <w:rFonts w:hint="eastAsia" w:ascii="宋体" w:hAnsi="宋体" w:eastAsia="宋体" w:cs="宋体"/>
            </w:rPr>
            <w:fldChar w:fldCharType="separate"/>
          </w:r>
          <w:r>
            <w:rPr>
              <w:rFonts w:hint="eastAsia" w:ascii="宋体" w:hAnsi="宋体" w:eastAsia="宋体" w:cs="宋体"/>
              <w:i w:val="0"/>
              <w:szCs w:val="21"/>
            </w:rPr>
            <w:t xml:space="preserve">7 </w:t>
          </w:r>
          <w:r>
            <w:rPr>
              <w:rFonts w:hint="eastAsia" w:ascii="宋体" w:hAnsi="宋体" w:eastAsia="宋体" w:cs="宋体"/>
              <w:i w:val="0"/>
              <w:szCs w:val="21"/>
              <w:lang w:val="en-US" w:eastAsia="zh-CN"/>
            </w:rPr>
            <w:t xml:space="preserve"> </w:t>
          </w:r>
          <w:r>
            <w:rPr>
              <w:rFonts w:hint="eastAsia" w:ascii="宋体" w:hAnsi="宋体" w:eastAsia="宋体" w:cs="宋体"/>
            </w:rPr>
            <w:t>评价程序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_Toc32186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_Toc856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成立工作组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_Toc856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_Toc32142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7.2</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 </w:t>
          </w:r>
          <w:r>
            <w:rPr>
              <w:rFonts w:hint="eastAsia" w:ascii="宋体" w:hAnsi="宋体" w:eastAsia="宋体" w:cs="宋体"/>
            </w:rPr>
            <w:t>收集材料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_Toc32142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_Toc24427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认定评价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_Toc24427 \h </w:instrText>
          </w:r>
          <w:r>
            <w:rPr>
              <w:rFonts w:hint="eastAsia" w:ascii="宋体" w:hAnsi="宋体" w:eastAsia="宋体" w:cs="宋体"/>
            </w:rPr>
            <w:fldChar w:fldCharType="separate"/>
          </w:r>
          <w:r>
            <w:rPr>
              <w:rFonts w:hint="eastAsia" w:ascii="宋体" w:hAnsi="宋体" w:eastAsia="宋体" w:cs="宋体"/>
            </w:rPr>
            <w:t>15</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_Toc13130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编制报告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_Toc13130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_Toc19066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eastAsia="zh-CN"/>
              <w14:shadow w14:blurRad="0" w14:dist="0" w14:dir="0" w14:sx="0" w14:sy="0" w14:kx="0" w14:ky="0" w14:algn="none">
                <w14:srgbClr w14:val="000000"/>
              </w14:shadow>
            </w:rPr>
            <w:t xml:space="preserve">7.5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专家评审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_Toc19066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_Toc3824 </w:instrText>
          </w:r>
          <w:r>
            <w:rPr>
              <w:rFonts w:hint="eastAsia" w:ascii="宋体" w:hAnsi="宋体" w:eastAsia="宋体" w:cs="宋体"/>
            </w:rPr>
            <w:fldChar w:fldCharType="separate"/>
          </w:r>
          <w:r>
            <w:rPr>
              <w:rFonts w:hint="eastAsia" w:ascii="宋体" w:hAnsi="宋体" w:eastAsia="宋体" w:cs="宋体"/>
              <w:i w:val="0"/>
              <w:spacing w:val="0"/>
              <w:w w:val="100"/>
            </w:rPr>
            <w:t>附录A</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充电、换电设施设备制造与运营</w:t>
          </w:r>
          <w:r>
            <w:rPr>
              <w:rFonts w:hint="eastAsia" w:ascii="宋体" w:hAnsi="宋体" w:eastAsia="宋体" w:cs="宋体"/>
            </w:rPr>
            <w:t>行业</w:t>
          </w:r>
          <w:r>
            <w:rPr>
              <w:rFonts w:hint="eastAsia" w:ascii="宋体" w:hAnsi="宋体" w:eastAsia="宋体" w:cs="宋体"/>
              <w:lang w:eastAsia="zh-CN"/>
            </w:rPr>
            <w:t>绿色低碳产业</w:t>
          </w:r>
          <w:r>
            <w:rPr>
              <w:rFonts w:hint="eastAsia" w:ascii="宋体" w:hAnsi="宋体" w:eastAsia="宋体" w:cs="宋体"/>
            </w:rPr>
            <w:t>认定评价指标表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_Toc3824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_Toc7211 </w:instrText>
          </w:r>
          <w:r>
            <w:rPr>
              <w:rFonts w:hint="eastAsia" w:ascii="宋体" w:hAnsi="宋体" w:eastAsia="宋体" w:cs="宋体"/>
            </w:rPr>
            <w:fldChar w:fldCharType="separate"/>
          </w:r>
          <w:r>
            <w:rPr>
              <w:rFonts w:hint="eastAsia" w:ascii="宋体" w:hAnsi="宋体" w:eastAsia="宋体" w:cs="宋体"/>
              <w:i w:val="0"/>
              <w:spacing w:val="0"/>
              <w:w w:val="100"/>
            </w:rPr>
            <w:t>附录B</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充电、换电设施设备制造与运营</w:t>
          </w:r>
          <w:r>
            <w:rPr>
              <w:rFonts w:hint="eastAsia" w:ascii="宋体" w:hAnsi="宋体" w:eastAsia="宋体" w:cs="宋体"/>
            </w:rPr>
            <w:t>行业</w:t>
          </w:r>
          <w:r>
            <w:rPr>
              <w:rFonts w:hint="eastAsia" w:ascii="宋体" w:hAnsi="宋体" w:eastAsia="宋体" w:cs="宋体"/>
              <w:lang w:eastAsia="zh-CN"/>
            </w:rPr>
            <w:t>绿色低碳产业企业</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_Toc7211 \h </w:instrText>
          </w:r>
          <w:r>
            <w:rPr>
              <w:rFonts w:hint="eastAsia" w:ascii="宋体" w:hAnsi="宋体" w:eastAsia="宋体" w:cs="宋体"/>
            </w:rPr>
            <w:fldChar w:fldCharType="separate"/>
          </w:r>
          <w:r>
            <w:rPr>
              <w:rFonts w:hint="eastAsia" w:ascii="宋体" w:hAnsi="宋体" w:eastAsia="宋体" w:cs="宋体"/>
            </w:rPr>
            <w:t>25</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_Toc14998 </w:instrText>
          </w:r>
          <w:r>
            <w:rPr>
              <w:rFonts w:hint="eastAsia" w:ascii="宋体" w:hAnsi="宋体" w:eastAsia="宋体" w:cs="宋体"/>
            </w:rPr>
            <w:fldChar w:fldCharType="separate"/>
          </w:r>
          <w:r>
            <w:rPr>
              <w:rFonts w:hint="eastAsia" w:ascii="宋体" w:hAnsi="宋体" w:eastAsia="宋体" w:cs="宋体"/>
              <w:i w:val="0"/>
              <w:spacing w:val="0"/>
              <w:w w:val="100"/>
            </w:rPr>
            <w:t>附录C</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充电、换电设施设备制造与运营</w:t>
          </w:r>
          <w:r>
            <w:rPr>
              <w:rFonts w:hint="eastAsia" w:ascii="宋体" w:hAnsi="宋体" w:eastAsia="宋体" w:cs="宋体"/>
            </w:rPr>
            <w:t>行业</w:t>
          </w:r>
          <w:r>
            <w:rPr>
              <w:rFonts w:hint="eastAsia" w:ascii="宋体" w:hAnsi="宋体" w:eastAsia="宋体" w:cs="宋体"/>
              <w:lang w:eastAsia="zh-CN"/>
            </w:rPr>
            <w:t>绿色低碳产业项目认定</w:t>
          </w:r>
          <w:r>
            <w:rPr>
              <w:rFonts w:hint="eastAsia" w:ascii="宋体" w:hAnsi="宋体" w:eastAsia="宋体" w:cs="宋体"/>
            </w:rPr>
            <w:t>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_Toc14998 \h </w:instrText>
          </w:r>
          <w:r>
            <w:rPr>
              <w:rFonts w:hint="eastAsia" w:ascii="宋体" w:hAnsi="宋体" w:eastAsia="宋体" w:cs="宋体"/>
            </w:rPr>
            <w:fldChar w:fldCharType="separate"/>
          </w:r>
          <w:r>
            <w:rPr>
              <w:rFonts w:hint="eastAsia" w:ascii="宋体" w:hAnsi="宋体" w:eastAsia="宋体" w:cs="宋体"/>
            </w:rPr>
            <w:t>30</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_Toc19255 </w:instrText>
          </w:r>
          <w:r>
            <w:rPr>
              <w:rFonts w:hint="eastAsia" w:ascii="宋体" w:hAnsi="宋体" w:eastAsia="宋体" w:cs="宋体"/>
            </w:rPr>
            <w:fldChar w:fldCharType="separate"/>
          </w:r>
          <w:r>
            <w:rPr>
              <w:rFonts w:hint="eastAsia" w:ascii="宋体" w:hAnsi="宋体" w:eastAsia="宋体" w:cs="宋体"/>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_Toc19255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spacing w:before="78" w:after="78"/>
            <w:rPr>
              <w:rFonts w:hint="eastAsia" w:ascii="宋体" w:hAnsi="宋体" w:eastAsia="宋体" w:cs="宋体"/>
            </w:rPr>
          </w:pPr>
          <w:r>
            <w:rPr>
              <w:rFonts w:hint="eastAsia" w:ascii="宋体" w:hAnsi="宋体" w:eastAsia="宋体" w:cs="宋体"/>
              <w:b/>
            </w:rPr>
            <w:fldChar w:fldCharType="end"/>
          </w:r>
        </w:p>
      </w:sdtContent>
    </w:sdt>
    <w:p>
      <w:pPr>
        <w:pStyle w:val="114"/>
        <w:rPr>
          <w:rFonts w:ascii="Times New Roman"/>
        </w:rPr>
      </w:pPr>
      <w:bookmarkStart w:id="21" w:name="_Toc31958"/>
      <w:bookmarkStart w:id="22" w:name="_Toc118282034"/>
      <w:bookmarkStart w:id="23" w:name="_Toc23144"/>
      <w:r>
        <w:rPr>
          <w:rFonts w:ascii="Times New Roman"/>
        </w:rPr>
        <w:t>前</w:t>
      </w:r>
      <w:bookmarkStart w:id="24" w:name="BKQY"/>
      <w:r>
        <w:rPr>
          <w:rFonts w:ascii="Times New Roman"/>
        </w:rPr>
        <w:t>  言</w:t>
      </w:r>
      <w:bookmarkEnd w:id="21"/>
      <w:bookmarkEnd w:id="22"/>
      <w:bookmarkEnd w:id="23"/>
      <w:bookmarkEnd w:id="24"/>
    </w:p>
    <w:p>
      <w:pPr>
        <w:pStyle w:val="24"/>
        <w:rPr>
          <w:rFonts w:hAnsi="宋体" w:cs="宋体"/>
        </w:rPr>
      </w:pPr>
      <w:r>
        <w:rPr>
          <w:rFonts w:hint="eastAsia" w:hAnsi="宋体" w:cs="宋体"/>
        </w:rPr>
        <w:t>本文件按照GB/T 1.1—2020《标准化工作导则  第1部分：标准化文件的结构和起草规则》的规定起草。</w:t>
      </w:r>
    </w:p>
    <w:p>
      <w:pPr>
        <w:pStyle w:val="24"/>
        <w:rPr>
          <w:rFonts w:hAnsi="宋体" w:cs="宋体"/>
        </w:rPr>
      </w:pPr>
      <w:r>
        <w:rPr>
          <w:rFonts w:hint="eastAsia" w:hAnsi="宋体" w:cs="宋体"/>
        </w:rPr>
        <w:t>本文件由</w:t>
      </w:r>
      <w:r>
        <w:rPr>
          <w:rFonts w:hint="eastAsia" w:hAnsi="宋体" w:cs="宋体"/>
          <w:lang w:eastAsia="zh-CN"/>
        </w:rPr>
        <w:t>深圳市计量质量检测研究院</w:t>
      </w:r>
      <w:r>
        <w:rPr>
          <w:rFonts w:hint="eastAsia" w:hAnsi="宋体" w:cs="宋体"/>
        </w:rPr>
        <w:t>提出。</w:t>
      </w:r>
    </w:p>
    <w:p>
      <w:pPr>
        <w:pStyle w:val="24"/>
        <w:rPr>
          <w:rFonts w:hAnsi="宋体" w:cs="宋体"/>
        </w:rPr>
      </w:pPr>
      <w:r>
        <w:rPr>
          <w:rFonts w:hint="eastAsia" w:hAnsi="宋体" w:cs="宋体"/>
        </w:rPr>
        <w:t>本文件由</w:t>
      </w:r>
      <w:r>
        <w:rPr>
          <w:rFonts w:hint="eastAsia" w:hAnsi="宋体" w:cs="宋体"/>
          <w:lang w:val="en-US" w:eastAsia="zh-CN"/>
        </w:rPr>
        <w:t>深圳市</w:t>
      </w:r>
      <w:r>
        <w:rPr>
          <w:rFonts w:hint="eastAsia" w:hAnsi="宋体" w:cs="宋体"/>
        </w:rPr>
        <w:t>深圳标准促进会归口。</w:t>
      </w:r>
    </w:p>
    <w:p>
      <w:pPr>
        <w:pStyle w:val="24"/>
        <w:rPr>
          <w:rFonts w:hAnsi="宋体" w:cs="宋体"/>
        </w:rPr>
      </w:pPr>
      <w:r>
        <w:rPr>
          <w:rFonts w:hint="eastAsia" w:hAnsi="宋体" w:cs="宋体"/>
        </w:rPr>
        <w:t>本文件起草单位：</w:t>
      </w:r>
      <w:r>
        <w:rPr>
          <w:rFonts w:hint="eastAsia" w:hAnsi="宋体" w:cs="宋体"/>
          <w:lang w:eastAsia="zh-CN"/>
        </w:rPr>
        <w:t>深圳市生态环境局、深圳市发展和改革委员会、</w:t>
      </w:r>
      <w:r>
        <w:rPr>
          <w:rFonts w:hint="eastAsia" w:hAnsi="宋体" w:cs="宋体"/>
        </w:rPr>
        <w:t>深圳市计量质量检测研究院</w:t>
      </w:r>
      <w:r>
        <w:rPr>
          <w:rFonts w:hint="eastAsia" w:hAnsi="宋体" w:cs="宋体"/>
          <w:lang w:eastAsia="zh-CN"/>
        </w:rPr>
        <w:t>、深圳市标准技术研究院、一带一路环境技术交流与转移中心（深圳）</w:t>
      </w:r>
      <w:r>
        <w:rPr>
          <w:rFonts w:hint="eastAsia" w:hAnsi="宋体" w:cs="宋体"/>
        </w:rPr>
        <w:t>。</w:t>
      </w:r>
    </w:p>
    <w:p>
      <w:pPr>
        <w:pStyle w:val="24"/>
        <w:rPr>
          <w:rFonts w:ascii="Times New Roman"/>
        </w:rPr>
      </w:pPr>
      <w:r>
        <w:rPr>
          <w:rFonts w:hint="eastAsia" w:hAnsi="宋体" w:cs="宋体"/>
        </w:rPr>
        <w:t>本文件主要起草人：谭清良、</w:t>
      </w:r>
      <w:r>
        <w:rPr>
          <w:rFonts w:hint="eastAsia" w:hAnsi="宋体" w:cs="宋体"/>
          <w:lang w:val="en-US" w:eastAsia="zh-CN"/>
        </w:rPr>
        <w:t>陈琨、</w:t>
      </w:r>
      <w:r>
        <w:rPr>
          <w:rFonts w:hint="eastAsia" w:hAnsi="宋体" w:cs="宋体"/>
        </w:rPr>
        <w:t>曹洋、</w:t>
      </w:r>
      <w:r>
        <w:rPr>
          <w:rFonts w:hint="eastAsia" w:hAnsi="宋体" w:cs="宋体"/>
          <w:lang w:val="en-US" w:eastAsia="zh-CN"/>
        </w:rPr>
        <w:t>薛淇文、</w:t>
      </w:r>
      <w:r>
        <w:rPr>
          <w:rFonts w:hint="eastAsia" w:hAnsi="宋体" w:cs="宋体"/>
          <w:lang w:eastAsia="zh-CN"/>
        </w:rPr>
        <w:t>姚婷婷</w:t>
      </w:r>
      <w:r>
        <w:rPr>
          <w:rFonts w:hint="eastAsia" w:hAnsi="宋体" w:cs="宋体"/>
        </w:rPr>
        <w:t>、</w:t>
      </w:r>
      <w:r>
        <w:rPr>
          <w:rFonts w:hint="eastAsia" w:hAnsi="宋体" w:cs="宋体"/>
          <w:lang w:eastAsia="zh-CN"/>
        </w:rPr>
        <w:t>伏晓林</w:t>
      </w:r>
      <w:r>
        <w:rPr>
          <w:rFonts w:hint="eastAsia" w:hAnsi="宋体" w:cs="宋体"/>
        </w:rPr>
        <w:t>、</w:t>
      </w:r>
      <w:r>
        <w:rPr>
          <w:rFonts w:hint="eastAsia" w:hAnsi="宋体" w:cs="宋体"/>
          <w:lang w:eastAsia="zh-CN"/>
        </w:rPr>
        <w:t>林娜、唐云鹭、戴知友、许立杰、</w:t>
      </w:r>
      <w:r>
        <w:rPr>
          <w:rFonts w:hint="eastAsia" w:hAnsi="宋体" w:cs="宋体"/>
        </w:rPr>
        <w:t>纪炘烨、罗茜、陈建兰、颜昌晶、</w:t>
      </w:r>
      <w:r>
        <w:rPr>
          <w:rFonts w:hint="eastAsia" w:hAnsi="宋体" w:cs="宋体"/>
          <w:lang w:eastAsia="zh-CN"/>
        </w:rPr>
        <w:t>刘冲、马玥睿、李宜繁、周頔</w:t>
      </w:r>
      <w:r>
        <w:rPr>
          <w:rFonts w:hint="eastAsia" w:hAnsi="宋体" w:cs="宋体"/>
        </w:rPr>
        <w:t>。</w:t>
      </w:r>
    </w:p>
    <w:p>
      <w:pPr>
        <w:pStyle w:val="24"/>
        <w:rPr>
          <w:rFonts w:ascii="Times New Roman"/>
        </w:rPr>
      </w:pPr>
    </w:p>
    <w:p>
      <w:pPr>
        <w:pStyle w:val="52"/>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5" w:name="_Toc80887605"/>
      <w:bookmarkStart w:id="26" w:name="_Toc82157004"/>
      <w:bookmarkStart w:id="27" w:name="_Toc80867248"/>
      <w:bookmarkStart w:id="28" w:name="_Toc80690485"/>
      <w:bookmarkStart w:id="29" w:name="_Toc80954704"/>
      <w:bookmarkStart w:id="30" w:name="_Toc80953770"/>
      <w:bookmarkStart w:id="31" w:name="_Toc14800"/>
      <w:bookmarkStart w:id="32" w:name="_Toc82626056"/>
      <w:bookmarkStart w:id="33" w:name="_Toc24880"/>
      <w:bookmarkStart w:id="34" w:name="_Toc19299"/>
      <w:bookmarkStart w:id="35" w:name="_Toc52091808"/>
    </w:p>
    <w:p>
      <w:pPr>
        <w:pStyle w:val="52"/>
        <w:rPr>
          <w:rFonts w:hint="eastAsia" w:ascii="Times New Roman" w:eastAsia="黑体"/>
          <w:lang w:eastAsia="zh-CN"/>
        </w:rPr>
      </w:pPr>
      <w:bookmarkStart w:id="36" w:name="_Toc27626"/>
      <w:bookmarkStart w:id="37" w:name="_Toc15816"/>
      <w:bookmarkStart w:id="38" w:name="_Toc118282035"/>
      <w:r>
        <w:rPr>
          <w:rFonts w:hint="eastAsia" w:ascii="Times New Roman"/>
          <w:spacing w:val="-11"/>
          <w:sz w:val="32"/>
          <w:lang w:eastAsia="zh-CN"/>
        </w:rPr>
        <w:t>绿色低碳产业</w:t>
      </w:r>
      <w:r>
        <w:rPr>
          <w:rFonts w:ascii="Times New Roman"/>
          <w:spacing w:val="-11"/>
          <w:sz w:val="32"/>
        </w:rPr>
        <w:t>认定</w:t>
      </w:r>
      <w:bookmarkEnd w:id="25"/>
      <w:bookmarkEnd w:id="26"/>
      <w:bookmarkEnd w:id="27"/>
      <w:bookmarkEnd w:id="28"/>
      <w:bookmarkEnd w:id="29"/>
      <w:bookmarkEnd w:id="30"/>
      <w:r>
        <w:rPr>
          <w:rFonts w:ascii="Times New Roman"/>
          <w:spacing w:val="-11"/>
          <w:sz w:val="32"/>
        </w:rPr>
        <w:t xml:space="preserve">行业技术规范 </w:t>
      </w:r>
      <w:bookmarkEnd w:id="31"/>
      <w:bookmarkEnd w:id="32"/>
      <w:bookmarkEnd w:id="33"/>
      <w:bookmarkEnd w:id="34"/>
      <w:bookmarkEnd w:id="36"/>
      <w:bookmarkEnd w:id="37"/>
      <w:bookmarkEnd w:id="38"/>
      <w:r>
        <w:rPr>
          <w:rFonts w:hint="eastAsia" w:ascii="Times New Roman"/>
          <w:spacing w:val="-11"/>
          <w:sz w:val="32"/>
          <w:lang w:val="en-US" w:eastAsia="zh-CN"/>
        </w:rPr>
        <w:t xml:space="preserve"> </w:t>
      </w:r>
      <w:r>
        <w:rPr>
          <w:rFonts w:hint="eastAsia" w:ascii="Times New Roman"/>
          <w:spacing w:val="-11"/>
          <w:sz w:val="32"/>
          <w:lang w:eastAsia="zh-CN"/>
        </w:rPr>
        <w:t>充电、换电设施设备制造与运营</w:t>
      </w:r>
    </w:p>
    <w:p>
      <w:pPr>
        <w:pStyle w:val="47"/>
        <w:outlineLvl w:val="0"/>
        <w:rPr>
          <w:rFonts w:ascii="Times New Roman"/>
        </w:rPr>
      </w:pPr>
      <w:bookmarkStart w:id="39" w:name="_Toc4308"/>
      <w:bookmarkStart w:id="40" w:name="_Toc102992448"/>
      <w:bookmarkStart w:id="41" w:name="_Toc118282036"/>
      <w:bookmarkStart w:id="42" w:name="_Toc2704"/>
      <w:r>
        <w:rPr>
          <w:rFonts w:ascii="Times New Roman"/>
        </w:rPr>
        <w:t>范围</w:t>
      </w:r>
      <w:bookmarkEnd w:id="35"/>
      <w:bookmarkEnd w:id="39"/>
      <w:bookmarkEnd w:id="40"/>
      <w:bookmarkEnd w:id="41"/>
      <w:bookmarkEnd w:id="42"/>
    </w:p>
    <w:p>
      <w:pPr>
        <w:pStyle w:val="24"/>
        <w:rPr>
          <w:rFonts w:ascii="Times New Roman"/>
        </w:rPr>
      </w:pPr>
      <w:r>
        <w:rPr>
          <w:rFonts w:ascii="Times New Roman"/>
        </w:rPr>
        <w:t>本文件规定了深圳市</w:t>
      </w:r>
      <w:r>
        <w:rPr>
          <w:rFonts w:hint="eastAsia" w:ascii="Times New Roman"/>
          <w:lang w:eastAsia="zh-CN"/>
        </w:rPr>
        <w:t>充电、换电设施设备制造与运营</w:t>
      </w:r>
      <w:r>
        <w:rPr>
          <w:rFonts w:hint="eastAsia" w:ascii="Times New Roman"/>
        </w:rPr>
        <w:t>行业开展</w:t>
      </w:r>
      <w:r>
        <w:rPr>
          <w:rFonts w:hint="eastAsia" w:ascii="Times New Roman"/>
          <w:lang w:eastAsia="zh-CN"/>
        </w:rPr>
        <w:t>绿色低碳产业</w:t>
      </w:r>
      <w:r>
        <w:rPr>
          <w:rFonts w:ascii="Times New Roman"/>
        </w:rPr>
        <w:t>认定评价的术语和定义、</w:t>
      </w:r>
      <w:r>
        <w:rPr>
          <w:rFonts w:hint="eastAsia" w:ascii="Times New Roman"/>
        </w:rPr>
        <w:t>评价原则及基本要求、</w:t>
      </w:r>
      <w:r>
        <w:rPr>
          <w:rFonts w:ascii="Times New Roman"/>
        </w:rPr>
        <w:t>评价指标和评价程序。</w:t>
      </w:r>
    </w:p>
    <w:p>
      <w:pPr>
        <w:pStyle w:val="24"/>
        <w:rPr>
          <w:rFonts w:ascii="Times New Roman"/>
        </w:rPr>
      </w:pPr>
      <w:r>
        <w:rPr>
          <w:rFonts w:ascii="Times New Roman"/>
        </w:rPr>
        <w:t>本文件适用于深圳市行政区域内</w:t>
      </w:r>
      <w:r>
        <w:rPr>
          <w:rFonts w:hint="eastAsia" w:ascii="Times New Roman"/>
          <w:lang w:eastAsia="zh-CN"/>
        </w:rPr>
        <w:t>充电、换电设施设备制造与运营</w:t>
      </w:r>
      <w:r>
        <w:rPr>
          <w:rFonts w:ascii="Times New Roman"/>
        </w:rPr>
        <w:t>行业的</w:t>
      </w:r>
      <w:r>
        <w:rPr>
          <w:rFonts w:hint="eastAsia" w:ascii="Times New Roman"/>
          <w:lang w:eastAsia="zh-CN"/>
        </w:rPr>
        <w:t>绿色低碳产业</w:t>
      </w:r>
      <w:r>
        <w:rPr>
          <w:rFonts w:ascii="Times New Roman"/>
        </w:rPr>
        <w:t>认定评价。深汕特别合作区可参照</w:t>
      </w:r>
      <w:r>
        <w:rPr>
          <w:rFonts w:hint="eastAsia" w:ascii="Times New Roman"/>
          <w:lang w:val="en-US" w:eastAsia="zh-CN"/>
        </w:rPr>
        <w:t>使用</w:t>
      </w:r>
      <w:r>
        <w:rPr>
          <w:rFonts w:ascii="Times New Roman"/>
        </w:rPr>
        <w:t>本文件。</w:t>
      </w:r>
    </w:p>
    <w:p>
      <w:pPr>
        <w:pStyle w:val="47"/>
        <w:outlineLvl w:val="0"/>
        <w:rPr>
          <w:rFonts w:ascii="Times New Roman"/>
        </w:rPr>
      </w:pPr>
      <w:bookmarkStart w:id="43" w:name="_Toc52091809"/>
      <w:bookmarkStart w:id="44" w:name="_Toc9269"/>
      <w:bookmarkStart w:id="45" w:name="_Toc22667"/>
      <w:bookmarkStart w:id="46" w:name="_Toc102992449"/>
      <w:bookmarkStart w:id="47" w:name="_Toc118282037"/>
      <w:r>
        <w:rPr>
          <w:rFonts w:ascii="Times New Roman"/>
        </w:rPr>
        <w:t>规范性引用文件</w:t>
      </w:r>
      <w:bookmarkEnd w:id="43"/>
      <w:bookmarkEnd w:id="44"/>
      <w:bookmarkEnd w:id="45"/>
      <w:bookmarkEnd w:id="46"/>
      <w:bookmarkEnd w:id="47"/>
    </w:p>
    <w:p>
      <w:pPr>
        <w:autoSpaceDE w:val="0"/>
        <w:autoSpaceDN w:val="0"/>
        <w:ind w:firstLine="420" w:firstLineChars="200"/>
        <w:rPr>
          <w:rFonts w:hint="eastAsia"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ind w:firstLine="420" w:firstLineChars="200"/>
        <w:rPr>
          <w:rFonts w:hint="eastAsia" w:ascii="宋体" w:hAnsi="宋体" w:cs="宋体"/>
          <w:lang w:val="en-US" w:eastAsia="zh-CN"/>
        </w:rPr>
      </w:pPr>
      <w:r>
        <w:rPr>
          <w:rFonts w:hint="eastAsia" w:ascii="宋体" w:hAnsi="宋体" w:cs="宋体"/>
          <w:lang w:val="en-US" w:eastAsia="zh-CN"/>
        </w:rPr>
        <w:t>GB/T 29772 电动汽车电池更换站通用技术要求</w:t>
      </w:r>
    </w:p>
    <w:p>
      <w:pPr>
        <w:ind w:firstLine="420" w:firstLineChars="200"/>
        <w:rPr>
          <w:rFonts w:hint="default" w:ascii="宋体" w:hAnsi="宋体" w:eastAsia="宋体" w:cs="宋体"/>
          <w:lang w:val="en-US" w:eastAsia="zh-CN"/>
        </w:rPr>
      </w:pPr>
      <w:r>
        <w:rPr>
          <w:rFonts w:hint="eastAsia" w:ascii="宋体" w:hAnsi="宋体" w:cs="宋体"/>
          <w:lang w:val="en-US" w:eastAsia="zh-CN"/>
        </w:rPr>
        <w:t>JJG 1149  电动汽车非车载充电机</w:t>
      </w:r>
    </w:p>
    <w:p>
      <w:pPr>
        <w:pStyle w:val="47"/>
        <w:outlineLvl w:val="0"/>
        <w:rPr>
          <w:rFonts w:ascii="Times New Roman"/>
        </w:rPr>
      </w:pPr>
      <w:bookmarkStart w:id="48" w:name="_Toc30824"/>
      <w:bookmarkStart w:id="49" w:name="_Toc102992450"/>
      <w:bookmarkStart w:id="50" w:name="_Toc118282038"/>
      <w:bookmarkStart w:id="51" w:name="_Toc26641"/>
      <w:r>
        <w:rPr>
          <w:rFonts w:ascii="Times New Roman"/>
        </w:rPr>
        <w:t>术语和定义</w:t>
      </w:r>
      <w:bookmarkEnd w:id="48"/>
      <w:bookmarkEnd w:id="49"/>
      <w:bookmarkEnd w:id="50"/>
      <w:bookmarkEnd w:id="51"/>
    </w:p>
    <w:p>
      <w:pPr>
        <w:pStyle w:val="24"/>
        <w:rPr>
          <w:rFonts w:ascii="Times New Roman"/>
        </w:rPr>
      </w:pPr>
      <w:bookmarkStart w:id="52" w:name="_Toc52098625"/>
      <w:bookmarkEnd w:id="52"/>
      <w:bookmarkStart w:id="53" w:name="_Toc55807229"/>
      <w:bookmarkEnd w:id="53"/>
      <w:r>
        <w:rPr>
          <w:rFonts w:ascii="Times New Roman"/>
        </w:rPr>
        <w:t>下列术语和定义适用于本文件。</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企事业单位  public enterprises and institutions</w:t>
      </w:r>
    </w:p>
    <w:p>
      <w:pPr>
        <w:pStyle w:val="24"/>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4"/>
        <w:spacing w:before="0" w:beforeLines="0" w:after="0" w:afterLines="0"/>
        <w:rPr>
          <w:rFonts w:ascii="Times New Roman"/>
        </w:rPr>
      </w:pPr>
    </w:p>
    <w:p>
      <w:pPr>
        <w:pStyle w:val="24"/>
        <w:rPr>
          <w:rFonts w:ascii="Times New Roman" w:eastAsia="黑体"/>
          <w:highlight w:val="none"/>
        </w:rPr>
      </w:pPr>
      <w:r>
        <w:rPr>
          <w:rFonts w:hint="eastAsia" w:ascii="黑体" w:hAnsi="黑体" w:eastAsia="黑体" w:cs="黑体"/>
          <w:highlight w:val="none"/>
        </w:rPr>
        <w:t>资源节约  r</w:t>
      </w:r>
      <w:r>
        <w:rPr>
          <w:rFonts w:ascii="黑体" w:hAnsi="黑体" w:eastAsia="黑体" w:cs="黑体"/>
          <w:highlight w:val="none"/>
        </w:rPr>
        <w:t>esource saving</w:t>
      </w:r>
    </w:p>
    <w:p>
      <w:pPr>
        <w:pStyle w:val="24"/>
        <w:rPr>
          <w:rFonts w:ascii="Times New Roman"/>
          <w:highlight w:val="none"/>
        </w:rPr>
      </w:pPr>
      <w:r>
        <w:rPr>
          <w:rFonts w:hint="eastAsia" w:ascii="Times New Roman"/>
          <w:highlight w:val="none"/>
        </w:rPr>
        <w:t>在生产、流通等环节提高资源利用效率，推进资源循环利用，以最少的资源消耗获得最大的经济和社会效益</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 xml:space="preserve">环境友好  </w:t>
      </w:r>
      <w:r>
        <w:rPr>
          <w:rFonts w:ascii="黑体" w:hAnsi="黑体" w:eastAsia="黑体" w:cs="黑体"/>
          <w:highlight w:val="none"/>
        </w:rPr>
        <w:t>environmentally friendly</w:t>
      </w:r>
    </w:p>
    <w:p>
      <w:pPr>
        <w:pStyle w:val="24"/>
        <w:rPr>
          <w:rFonts w:ascii="Times New Roman"/>
          <w:highlight w:val="none"/>
        </w:rPr>
      </w:pPr>
      <w:r>
        <w:rPr>
          <w:rFonts w:hint="eastAsia" w:ascii="Times New Roman"/>
          <w:highlight w:val="none"/>
        </w:rPr>
        <w:t>用清洁化的能源和原料，采用有利于环境保护的生产消费方式，降低污染产生量、实现排放无害化，减少社会经济系统对环境系统的不利影响</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ascii="黑体" w:hAnsi="黑体" w:eastAsia="黑体" w:cs="黑体"/>
          <w:highlight w:val="none"/>
        </w:rPr>
        <w:t>生态良好</w:t>
      </w:r>
      <w:r>
        <w:rPr>
          <w:rFonts w:hint="eastAsia" w:ascii="黑体" w:hAnsi="黑体" w:eastAsia="黑体" w:cs="黑体"/>
          <w:highlight w:val="none"/>
        </w:rPr>
        <w:t xml:space="preserve">  e</w:t>
      </w:r>
      <w:r>
        <w:rPr>
          <w:rFonts w:ascii="黑体" w:hAnsi="黑体" w:eastAsia="黑体" w:cs="黑体"/>
          <w:highlight w:val="none"/>
        </w:rPr>
        <w:t>cological soundness</w:t>
      </w:r>
    </w:p>
    <w:p>
      <w:pPr>
        <w:pStyle w:val="24"/>
        <w:rPr>
          <w:rFonts w:ascii="Times New Roman"/>
          <w:highlight w:val="none"/>
        </w:rPr>
      </w:pPr>
      <w:r>
        <w:rPr>
          <w:rFonts w:hint="eastAsia" w:ascii="Times New Roman"/>
          <w:highlight w:val="none"/>
        </w:rPr>
        <w:t>生态环保、生态修复以及减缓和适应气候变化等</w:t>
      </w:r>
      <w:r>
        <w:rPr>
          <w:rFonts w:ascii="Times New Roman"/>
          <w:highlight w:val="none"/>
        </w:rPr>
        <w:t>。</w:t>
      </w:r>
    </w:p>
    <w:p>
      <w:pPr>
        <w:pStyle w:val="44"/>
        <w:spacing w:beforeLines="0" w:afterLines="0"/>
        <w:rPr>
          <w:rFonts w:hint="eastAsia" w:ascii="黑体" w:hAnsi="黑体" w:eastAsia="黑体" w:cs="黑体"/>
        </w:rPr>
      </w:pPr>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 xml:space="preserve">  </w:t>
      </w:r>
      <w:r>
        <w:rPr>
          <w:rFonts w:hint="eastAsia" w:ascii="黑体" w:hAnsi="黑体" w:eastAsia="黑体" w:cs="黑体"/>
          <w:lang w:val="en-US" w:eastAsia="zh-CN"/>
        </w:rPr>
        <w:t>g</w:t>
      </w:r>
      <w:r>
        <w:rPr>
          <w:rFonts w:hint="eastAsia" w:ascii="黑体" w:hAnsi="黑体" w:eastAsia="黑体" w:cs="黑体"/>
        </w:rPr>
        <w:t>reen and low-carbon industr</w:t>
      </w:r>
      <w:r>
        <w:rPr>
          <w:rFonts w:hint="eastAsia" w:ascii="黑体" w:hAnsi="黑体" w:eastAsia="黑体" w:cs="黑体"/>
          <w:lang w:val="en-US" w:eastAsia="zh-CN"/>
        </w:rPr>
        <w:t>ies</w:t>
      </w:r>
    </w:p>
    <w:p>
      <w:pPr>
        <w:pStyle w:val="24"/>
        <w:rPr>
          <w:rFonts w:ascii="Times New Roman"/>
        </w:rPr>
      </w:pPr>
      <w:r>
        <w:rPr>
          <w:rFonts w:hint="eastAsia" w:ascii="Times New Roman"/>
          <w:lang w:val="en-US" w:eastAsia="zh-CN"/>
        </w:rPr>
        <w:t>以低能耗、低排放和低污染为基础，</w:t>
      </w:r>
      <w:r>
        <w:rPr>
          <w:rFonts w:ascii="Times New Roman"/>
        </w:rPr>
        <w:t>提供有利于资源节约、环境友好、生态良好的产品或服务的企事业单位的集合体。</w:t>
      </w:r>
    </w:p>
    <w:p>
      <w:pPr>
        <w:pStyle w:val="44"/>
        <w:spacing w:before="0" w:beforeLines="0" w:after="0" w:afterLines="0"/>
        <w:rPr>
          <w:rFonts w:ascii="Times New Roman"/>
        </w:rPr>
      </w:pPr>
      <w:bookmarkStart w:id="54" w:name="_Toc80953774"/>
      <w:bookmarkEnd w:id="54"/>
      <w:bookmarkStart w:id="55" w:name="_Toc80887609"/>
      <w:bookmarkEnd w:id="55"/>
      <w:bookmarkStart w:id="56" w:name="_Toc80954708"/>
      <w:bookmarkEnd w:id="56"/>
      <w:bookmarkStart w:id="57" w:name="_Toc80867252"/>
      <w:bookmarkEnd w:id="57"/>
      <w:bookmarkStart w:id="58" w:name="_Toc82684141"/>
      <w:bookmarkEnd w:id="58"/>
      <w:bookmarkStart w:id="59" w:name="_Toc82157008"/>
      <w:bookmarkEnd w:id="59"/>
      <w:bookmarkStart w:id="60" w:name="_Toc102992451"/>
      <w:bookmarkEnd w:id="60"/>
    </w:p>
    <w:p>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hint="eastAsia" w:eastAsia="黑体"/>
          <w:lang w:eastAsia="zh-CN"/>
        </w:rPr>
        <w:t>充电、换电设施设备制造与运营</w:t>
      </w:r>
      <w:r>
        <w:rPr>
          <w:rFonts w:hint="eastAsia" w:eastAsia="黑体"/>
        </w:rPr>
        <w:t xml:space="preserve"> </w:t>
      </w:r>
      <w:r>
        <w:rPr>
          <w:rFonts w:hint="eastAsia" w:ascii="黑体" w:hAnsi="黑体" w:eastAsia="黑体" w:cs="黑体"/>
        </w:rPr>
        <w:t xml:space="preserve"> solar energy</w:t>
      </w:r>
      <w:r>
        <w:rPr>
          <w:rFonts w:ascii="黑体" w:hAnsi="黑体" w:eastAsia="黑体" w:cs="黑体"/>
        </w:rPr>
        <w:t xml:space="preserve"> industry</w:t>
      </w:r>
    </w:p>
    <w:p>
      <w:pPr>
        <w:pStyle w:val="24"/>
        <w:rPr>
          <w:rFonts w:ascii="Times New Roman"/>
        </w:rPr>
      </w:pPr>
      <w:r>
        <w:rPr>
          <w:rFonts w:hint="eastAsia" w:ascii="Times New Roman"/>
        </w:rPr>
        <w:t>属于《</w:t>
      </w:r>
      <w:r>
        <w:rPr>
          <w:rFonts w:hint="eastAsia" w:ascii="Times New Roman"/>
          <w:lang w:val="en-US" w:eastAsia="zh-CN"/>
        </w:rPr>
        <w:t>深圳市</w:t>
      </w:r>
      <w:r>
        <w:rPr>
          <w:rFonts w:hint="eastAsia" w:ascii="Times New Roman"/>
        </w:rPr>
        <w:t>绿色</w:t>
      </w:r>
      <w:r>
        <w:rPr>
          <w:rFonts w:hint="eastAsia" w:ascii="Times New Roman"/>
          <w:lang w:val="en-US" w:eastAsia="zh-CN"/>
        </w:rPr>
        <w:t>低碳</w:t>
      </w:r>
      <w:r>
        <w:rPr>
          <w:rFonts w:hint="eastAsia" w:ascii="Times New Roman"/>
        </w:rPr>
        <w:t>产业指导目录》所列“</w:t>
      </w:r>
      <w:r>
        <w:rPr>
          <w:rFonts w:hint="eastAsia" w:ascii="Times New Roman"/>
          <w:lang w:eastAsia="zh-CN"/>
        </w:rPr>
        <w:t>充电、换电设施设备制造与运营</w:t>
      </w:r>
      <w:r>
        <w:rPr>
          <w:rFonts w:hint="eastAsia" w:ascii="Times New Roman"/>
        </w:rPr>
        <w:t>”</w:t>
      </w:r>
      <w:r>
        <w:rPr>
          <w:rFonts w:hint="eastAsia" w:ascii="Times New Roman"/>
          <w:lang w:val="en-US" w:eastAsia="zh-CN"/>
        </w:rPr>
        <w:t>中列明的行业</w:t>
      </w:r>
      <w:r>
        <w:rPr>
          <w:rFonts w:ascii="Times New Roman"/>
        </w:rPr>
        <w:t>。</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绿色业务  green business</w:t>
      </w:r>
    </w:p>
    <w:p>
      <w:pPr>
        <w:pStyle w:val="24"/>
        <w:rPr>
          <w:rFonts w:ascii="Times New Roman"/>
        </w:rPr>
      </w:pPr>
      <w:r>
        <w:rPr>
          <w:rFonts w:ascii="Times New Roman"/>
        </w:rPr>
        <w:t>提供</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相关产品或服务的经营活动。</w:t>
      </w:r>
    </w:p>
    <w:p>
      <w:pPr>
        <w:pStyle w:val="44"/>
        <w:spacing w:before="0" w:beforeLines="0" w:after="0" w:afterLines="0"/>
        <w:rPr>
          <w:rFonts w:ascii="Times New Roman"/>
        </w:rPr>
      </w:pPr>
      <w:bookmarkStart w:id="61" w:name="_Toc102992454"/>
      <w:bookmarkEnd w:id="61"/>
      <w:bookmarkStart w:id="62" w:name="_Toc82684143"/>
      <w:bookmarkEnd w:id="62"/>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企业  enterprises and institutions recognized as green industry</w:t>
      </w:r>
    </w:p>
    <w:p>
      <w:pPr>
        <w:pStyle w:val="24"/>
        <w:rPr>
          <w:rFonts w:ascii="Times New Roman"/>
        </w:rPr>
      </w:pPr>
      <w:r>
        <w:rPr>
          <w:rFonts w:ascii="Times New Roman"/>
        </w:rPr>
        <w:t>经营范围包括</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，自身生产运营环境表现和社会表现良好，并通过了深圳市</w:t>
      </w:r>
      <w:r>
        <w:rPr>
          <w:rFonts w:hint="eastAsia" w:ascii="Times New Roman"/>
          <w:lang w:eastAsia="zh-CN"/>
        </w:rPr>
        <w:t>绿色低碳产业</w:t>
      </w:r>
      <w:r>
        <w:rPr>
          <w:rFonts w:ascii="Times New Roman"/>
        </w:rPr>
        <w:t>认定的企事业单位。</w:t>
      </w:r>
    </w:p>
    <w:p>
      <w:pPr>
        <w:pStyle w:val="47"/>
        <w:outlineLvl w:val="0"/>
        <w:rPr>
          <w:rFonts w:ascii="Times New Roman"/>
        </w:rPr>
      </w:pPr>
      <w:bookmarkStart w:id="63" w:name="_Toc55807232"/>
      <w:bookmarkEnd w:id="63"/>
      <w:bookmarkStart w:id="64" w:name="_Toc52098629"/>
      <w:bookmarkEnd w:id="64"/>
      <w:bookmarkStart w:id="65" w:name="_Toc102992453"/>
      <w:bookmarkEnd w:id="65"/>
      <w:bookmarkStart w:id="66" w:name="_Toc55807233"/>
      <w:bookmarkEnd w:id="66"/>
      <w:bookmarkStart w:id="67" w:name="_Toc52098628"/>
      <w:bookmarkEnd w:id="67"/>
      <w:bookmarkStart w:id="68" w:name="_Toc118282039"/>
      <w:bookmarkStart w:id="69" w:name="_Toc18890"/>
      <w:bookmarkStart w:id="70" w:name="_Toc21178"/>
      <w:r>
        <w:rPr>
          <w:rFonts w:ascii="Times New Roman"/>
        </w:rPr>
        <w:t>评价</w:t>
      </w:r>
      <w:r>
        <w:rPr>
          <w:rFonts w:hint="eastAsia" w:ascii="Times New Roman"/>
        </w:rPr>
        <w:t>总则</w:t>
      </w:r>
      <w:bookmarkEnd w:id="68"/>
      <w:bookmarkEnd w:id="69"/>
      <w:bookmarkEnd w:id="70"/>
    </w:p>
    <w:p>
      <w:pPr>
        <w:pStyle w:val="44"/>
        <w:outlineLvl w:val="1"/>
        <w:rPr>
          <w:rFonts w:ascii="Times New Roman"/>
        </w:rPr>
      </w:pPr>
      <w:bookmarkStart w:id="71" w:name="_Toc31033"/>
      <w:bookmarkStart w:id="72" w:name="_Toc118282040"/>
      <w:bookmarkStart w:id="73" w:name="_Toc15795"/>
      <w:bookmarkStart w:id="74" w:name="_Toc52098632"/>
      <w:r>
        <w:rPr>
          <w:rFonts w:ascii="Times New Roman"/>
        </w:rPr>
        <w:t>评价原则</w:t>
      </w:r>
      <w:bookmarkEnd w:id="71"/>
      <w:bookmarkEnd w:id="72"/>
      <w:bookmarkEnd w:id="73"/>
    </w:p>
    <w:p>
      <w:pPr>
        <w:pStyle w:val="24"/>
        <w:rPr>
          <w:rFonts w:hAnsi="宋体" w:cs="宋体"/>
        </w:rPr>
      </w:pPr>
      <w:r>
        <w:rPr>
          <w:rFonts w:hint="eastAsia" w:hAnsi="宋体" w:cs="宋体"/>
          <w:lang w:eastAsia="zh-CN"/>
        </w:rPr>
        <w:t>绿色低碳产业</w:t>
      </w:r>
      <w:r>
        <w:rPr>
          <w:rFonts w:hint="eastAsia" w:hAnsi="宋体" w:cs="宋体"/>
        </w:rPr>
        <w:t>认定评价遵循以下原则：</w:t>
      </w:r>
    </w:p>
    <w:p>
      <w:pPr>
        <w:pStyle w:val="24"/>
        <w:ind w:left="840" w:leftChars="200" w:hanging="420" w:hangingChars="200"/>
        <w:rPr>
          <w:rFonts w:hAnsi="宋体" w:cs="宋体"/>
        </w:rPr>
      </w:pPr>
      <w:r>
        <w:rPr>
          <w:rFonts w:hint="eastAsia" w:hAnsi="宋体" w:cs="宋体"/>
        </w:rPr>
        <w:t>——科学性。评价过程应根据</w:t>
      </w:r>
      <w:r>
        <w:rPr>
          <w:rFonts w:hint="eastAsia" w:hAnsi="宋体" w:cs="宋体"/>
          <w:lang w:eastAsia="zh-CN"/>
        </w:rPr>
        <w:t>充电、换电设施设备制造与运营</w:t>
      </w:r>
      <w:r>
        <w:rPr>
          <w:rFonts w:hint="eastAsia" w:hAnsi="宋体" w:cs="宋体"/>
        </w:rPr>
        <w:t>产业特点和各子行业差异性，依据本文件及《</w:t>
      </w:r>
      <w:r>
        <w:rPr>
          <w:rFonts w:hint="eastAsia" w:hAnsi="宋体" w:cs="宋体"/>
          <w:lang w:eastAsia="zh-CN"/>
        </w:rPr>
        <w:t>绿色低碳产业</w:t>
      </w:r>
      <w:r>
        <w:rPr>
          <w:rFonts w:hint="eastAsia" w:hAnsi="宋体" w:cs="宋体"/>
        </w:rPr>
        <w:t>认定评价导则》，采用科学的方法，全面、客观地评价企事业单位实际情况，给出评价结论。</w:t>
      </w:r>
    </w:p>
    <w:p>
      <w:pPr>
        <w:pStyle w:val="24"/>
        <w:rPr>
          <w:rFonts w:hAnsi="宋体" w:cs="宋体"/>
        </w:rPr>
      </w:pPr>
      <w:r>
        <w:rPr>
          <w:rFonts w:hint="eastAsia" w:hAnsi="宋体" w:cs="宋体"/>
        </w:rPr>
        <w:t>——可验证性。应详细记录评价材料、数据、文件等的获取途径、渠道，保留原始的测试数据、材</w:t>
      </w:r>
    </w:p>
    <w:p>
      <w:pPr>
        <w:pStyle w:val="24"/>
        <w:ind w:firstLine="840" w:firstLineChars="400"/>
        <w:rPr>
          <w:rFonts w:ascii="Times New Roman"/>
        </w:rPr>
      </w:pPr>
      <w:r>
        <w:rPr>
          <w:rFonts w:hint="eastAsia" w:hAnsi="宋体" w:cs="宋体"/>
        </w:rPr>
        <w:t>料，保证数据、材料的可溯源性和可验证性。</w:t>
      </w:r>
    </w:p>
    <w:p>
      <w:pPr>
        <w:pStyle w:val="24"/>
        <w:ind w:left="840" w:leftChars="200" w:hanging="420" w:hangingChars="200"/>
        <w:rPr>
          <w:rFonts w:ascii="Times New Roman"/>
        </w:rPr>
      </w:pPr>
      <w:r>
        <w:rPr>
          <w:rFonts w:hint="eastAsia" w:hAnsi="宋体" w:cs="宋体"/>
        </w:rPr>
        <w:t>——审慎性。自评报告应给出谨慎的评价意见，对于基础数据不全、信息不完整的企事业单位，应说明由于条件不具备无法给出评价结论。</w:t>
      </w:r>
    </w:p>
    <w:bookmarkEnd w:id="74"/>
    <w:p>
      <w:pPr>
        <w:pStyle w:val="44"/>
        <w:outlineLvl w:val="1"/>
        <w:rPr>
          <w:rFonts w:ascii="Times New Roman"/>
        </w:rPr>
      </w:pPr>
      <w:bookmarkStart w:id="75" w:name="_Toc102992456"/>
      <w:bookmarkStart w:id="76" w:name="_Toc118282041"/>
      <w:bookmarkStart w:id="77" w:name="_Toc30411"/>
      <w:bookmarkStart w:id="78" w:name="_Toc30960"/>
      <w:r>
        <w:rPr>
          <w:rFonts w:ascii="Times New Roman"/>
        </w:rPr>
        <w:t>基本要求</w:t>
      </w:r>
      <w:bookmarkEnd w:id="75"/>
      <w:bookmarkEnd w:id="76"/>
      <w:bookmarkEnd w:id="77"/>
      <w:bookmarkEnd w:id="78"/>
    </w:p>
    <w:p>
      <w:pPr>
        <w:pStyle w:val="24"/>
        <w:rPr>
          <w:rFonts w:hint="eastAsia" w:hAnsi="宋体" w:cs="宋体"/>
        </w:rPr>
      </w:pPr>
      <w:r>
        <w:rPr>
          <w:rFonts w:hint="eastAsia" w:hAnsi="宋体" w:cs="宋体"/>
        </w:rPr>
        <w:t>申报</w:t>
      </w:r>
      <w:r>
        <w:rPr>
          <w:rFonts w:hint="eastAsia" w:hAnsi="宋体" w:cs="宋体"/>
          <w:lang w:eastAsia="zh-CN"/>
        </w:rPr>
        <w:t>绿色低碳产业</w:t>
      </w:r>
      <w:r>
        <w:rPr>
          <w:rFonts w:hint="eastAsia" w:hAnsi="宋体" w:cs="宋体"/>
        </w:rPr>
        <w:t>认定评价的企事业单位应满足下列所有条件：</w:t>
      </w:r>
    </w:p>
    <w:p>
      <w:pPr>
        <w:pStyle w:val="24"/>
        <w:rPr>
          <w:rFonts w:hint="eastAsia" w:hAnsi="宋体" w:cs="宋体"/>
        </w:rPr>
      </w:pPr>
      <w:r>
        <w:rPr>
          <w:rFonts w:hint="eastAsia" w:hAnsi="宋体" w:cs="宋体"/>
        </w:rPr>
        <w:t>——</w:t>
      </w:r>
      <w:r>
        <w:rPr>
          <w:rFonts w:hint="eastAsia" w:ascii="宋体" w:hAnsi="宋体" w:eastAsia="宋体" w:cs="宋体"/>
          <w:color w:val="auto"/>
          <w:kern w:val="0"/>
          <w:sz w:val="21"/>
          <w:szCs w:val="20"/>
          <w:lang w:val="en-US" w:eastAsia="zh-CN"/>
        </w:rPr>
        <w:t>在深圳市（含深汕特别合作区）行政辖区内注册满一年的法人企业或事业单位法人，总部设立在深圳的集团公司可联合深圳市行政辖区外的控股子公司共同申报</w:t>
      </w:r>
      <w:r>
        <w:rPr>
          <w:rFonts w:hint="eastAsia" w:ascii="宋体" w:hAnsi="宋体" w:eastAsia="宋体" w:cs="宋体"/>
          <w:color w:val="auto"/>
          <w:kern w:val="0"/>
          <w:sz w:val="21"/>
          <w:szCs w:val="20"/>
          <w:lang w:eastAsia="zh-CN"/>
        </w:rPr>
        <w:t>。</w:t>
      </w:r>
      <w:r>
        <w:rPr>
          <w:rFonts w:hint="eastAsia" w:hAnsi="宋体" w:cs="宋体"/>
        </w:rPr>
        <w:t>；</w:t>
      </w:r>
    </w:p>
    <w:p>
      <w:pPr>
        <w:pStyle w:val="24"/>
        <w:rPr>
          <w:rFonts w:hint="eastAsia" w:hAnsi="宋体" w:cs="宋体"/>
        </w:rPr>
      </w:pPr>
      <w:r>
        <w:rPr>
          <w:rFonts w:hint="eastAsia" w:hAnsi="宋体" w:cs="宋体"/>
        </w:rPr>
        <w:t>——</w:t>
      </w:r>
      <w:r>
        <w:rPr>
          <w:rFonts w:hint="eastAsia" w:ascii="宋体" w:hAnsi="宋体" w:eastAsia="宋体" w:cs="宋体"/>
          <w:color w:val="auto"/>
          <w:kern w:val="0"/>
          <w:sz w:val="21"/>
          <w:szCs w:val="20"/>
          <w:lang w:val="en-US" w:eastAsia="zh-CN"/>
        </w:rPr>
        <w:t>在申报、认定及结果公示期结束之前均未被列入失信联合惩戒黑名单及失信被执行人名单。</w:t>
      </w:r>
      <w:r>
        <w:rPr>
          <w:rFonts w:hint="eastAsia" w:hAnsi="宋体" w:cs="宋体"/>
        </w:rPr>
        <w:t>；</w:t>
      </w:r>
    </w:p>
    <w:p>
      <w:pPr>
        <w:pStyle w:val="24"/>
        <w:rPr>
          <w:rFonts w:hint="eastAsia" w:hAnsi="宋体" w:cs="宋体"/>
        </w:rPr>
      </w:pPr>
      <w:r>
        <w:rPr>
          <w:rFonts w:hint="eastAsia" w:hAnsi="宋体" w:cs="宋体"/>
        </w:rPr>
        <w:t>——</w:t>
      </w:r>
      <w:r>
        <w:rPr>
          <w:rFonts w:hint="eastAsia" w:ascii="宋体" w:hAnsi="宋体" w:eastAsia="宋体" w:cs="宋体"/>
          <w:color w:val="auto"/>
          <w:kern w:val="0"/>
          <w:sz w:val="21"/>
          <w:szCs w:val="20"/>
          <w:lang w:val="en-US" w:eastAsia="zh-CN"/>
        </w:rPr>
        <w:t>申报前三年内未发生重大安全、重大质量事故或严重环境违法行为</w:t>
      </w:r>
      <w:r>
        <w:rPr>
          <w:rFonts w:hint="eastAsia" w:hAnsi="宋体" w:cs="宋体"/>
        </w:rPr>
        <w:t>；</w:t>
      </w:r>
    </w:p>
    <w:p>
      <w:pPr>
        <w:pStyle w:val="24"/>
        <w:rPr>
          <w:rFonts w:hint="eastAsia" w:ascii="宋体" w:hAnsi="宋体" w:cs="宋体"/>
        </w:rPr>
      </w:pPr>
      <w:r>
        <w:rPr>
          <w:rFonts w:hint="eastAsia" w:hAnsi="宋体" w:cs="宋体"/>
        </w:rPr>
        <w:t>——</w:t>
      </w:r>
      <w:r>
        <w:rPr>
          <w:rFonts w:hint="eastAsia" w:ascii="宋体" w:hAnsi="宋体" w:eastAsia="宋体" w:cs="宋体"/>
          <w:color w:val="auto"/>
          <w:kern w:val="0"/>
          <w:sz w:val="21"/>
          <w:szCs w:val="20"/>
        </w:rPr>
        <w:t>《深圳市绿色</w:t>
      </w:r>
      <w:r>
        <w:rPr>
          <w:rFonts w:hint="eastAsia" w:ascii="宋体" w:hAnsi="宋体" w:eastAsia="宋体" w:cs="宋体"/>
          <w:color w:val="auto"/>
          <w:kern w:val="0"/>
          <w:sz w:val="21"/>
          <w:szCs w:val="20"/>
          <w:lang w:val="en-US" w:eastAsia="zh-CN"/>
        </w:rPr>
        <w:t>低碳</w:t>
      </w:r>
      <w:r>
        <w:rPr>
          <w:rFonts w:hint="eastAsia" w:ascii="宋体" w:hAnsi="宋体" w:eastAsia="宋体" w:cs="宋体"/>
          <w:color w:val="auto"/>
          <w:kern w:val="0"/>
          <w:sz w:val="21"/>
          <w:szCs w:val="20"/>
        </w:rPr>
        <w:t>产业认定管理办法》所规定的其他要求</w:t>
      </w:r>
      <w:r>
        <w:rPr>
          <w:rFonts w:hint="eastAsia" w:hAnsi="宋体" w:cs="宋体"/>
        </w:rPr>
        <w:t>。</w:t>
      </w:r>
    </w:p>
    <w:p>
      <w:pPr>
        <w:pStyle w:val="47"/>
        <w:outlineLvl w:val="0"/>
        <w:rPr>
          <w:rFonts w:ascii="Times New Roman"/>
        </w:rPr>
      </w:pPr>
      <w:bookmarkStart w:id="79" w:name="_Toc13973"/>
      <w:bookmarkStart w:id="80" w:name="_Toc118282042"/>
      <w:bookmarkStart w:id="81" w:name="_Toc102992458"/>
      <w:bookmarkStart w:id="82" w:name="_Toc80690492"/>
      <w:bookmarkStart w:id="83" w:name="_Toc7105"/>
      <w:r>
        <w:rPr>
          <w:rFonts w:hint="eastAsia" w:ascii="Times New Roman"/>
          <w:lang w:eastAsia="zh-CN"/>
        </w:rPr>
        <w:t>绿色低碳产业企业</w:t>
      </w:r>
      <w:r>
        <w:rPr>
          <w:rFonts w:ascii="Times New Roman"/>
        </w:rPr>
        <w:t>评价指标</w:t>
      </w:r>
      <w:bookmarkEnd w:id="79"/>
      <w:bookmarkEnd w:id="80"/>
      <w:bookmarkEnd w:id="81"/>
      <w:bookmarkEnd w:id="82"/>
      <w:bookmarkEnd w:id="83"/>
    </w:p>
    <w:p>
      <w:pPr>
        <w:pStyle w:val="44"/>
        <w:outlineLvl w:val="1"/>
        <w:rPr>
          <w:rFonts w:ascii="Times New Roman"/>
        </w:rPr>
      </w:pPr>
      <w:bookmarkStart w:id="84" w:name="_Toc118282043"/>
      <w:bookmarkStart w:id="85" w:name="_Toc10594"/>
      <w:bookmarkStart w:id="86" w:name="_Toc27296"/>
      <w:bookmarkStart w:id="87" w:name="_Toc102992460"/>
      <w:r>
        <w:rPr>
          <w:rFonts w:ascii="Times New Roman"/>
        </w:rPr>
        <w:t>符合性评价</w:t>
      </w:r>
      <w:bookmarkEnd w:id="84"/>
      <w:bookmarkEnd w:id="85"/>
      <w:bookmarkEnd w:id="86"/>
      <w:bookmarkEnd w:id="87"/>
    </w:p>
    <w:p>
      <w:pPr>
        <w:pStyle w:val="48"/>
        <w:spacing w:before="156" w:after="156"/>
        <w:rPr>
          <w:rFonts w:ascii="Times New Roman"/>
        </w:rPr>
      </w:pPr>
      <w:r>
        <w:rPr>
          <w:rFonts w:ascii="Times New Roman"/>
        </w:rPr>
        <w:t>目录符合</w:t>
      </w:r>
    </w:p>
    <w:p>
      <w:pPr>
        <w:ind w:firstLine="420" w:firstLineChars="200"/>
        <w:jc w:val="left"/>
        <w:rPr>
          <w:rFonts w:ascii="Times New Roman"/>
        </w:rPr>
      </w:pPr>
      <w:r>
        <w:rPr>
          <w:rFonts w:hint="eastAsia" w:ascii="Times New Roman"/>
        </w:rPr>
        <w:t>申报认定评价的主营业务应属于</w:t>
      </w:r>
      <w:r>
        <w:rPr>
          <w:rFonts w:hint="eastAsia"/>
          <w:szCs w:val="21"/>
        </w:rPr>
        <w:t>深圳市绿色低碳产业指导目录中列明的</w:t>
      </w:r>
      <w:r>
        <w:rPr>
          <w:rFonts w:hint="eastAsia"/>
          <w:szCs w:val="24"/>
          <w:highlight w:val="none"/>
          <w:lang w:eastAsia="zh-CN"/>
        </w:rPr>
        <w:t>充电设施及设备制造、换电设施及设备制造、</w:t>
      </w:r>
      <w:r>
        <w:rPr>
          <w:rFonts w:hint="eastAsia" w:ascii="Times New Roman" w:hAnsi="Times New Roman" w:eastAsia="宋体"/>
          <w:szCs w:val="24"/>
          <w:highlight w:val="none"/>
          <w:lang w:eastAsia="zh-CN"/>
        </w:rPr>
        <w:t>充换电设施运营</w:t>
      </w:r>
      <w:r>
        <w:rPr>
          <w:rFonts w:hint="eastAsia" w:ascii="Times New Roman"/>
        </w:rPr>
        <w:t>等</w:t>
      </w:r>
      <w:r>
        <w:rPr>
          <w:rFonts w:hint="eastAsia"/>
          <w:lang w:eastAsia="zh-CN"/>
        </w:rPr>
        <w:t>充电、换电设施设备制造与运营</w:t>
      </w:r>
      <w:r>
        <w:rPr>
          <w:rFonts w:hint="eastAsia" w:ascii="Times New Roman"/>
        </w:rPr>
        <w:t>产业。</w:t>
      </w:r>
      <w:r>
        <w:rPr>
          <w:rFonts w:hint="eastAsia"/>
          <w:highlight w:val="none"/>
          <w:lang w:eastAsia="zh-CN"/>
        </w:rPr>
        <w:t>若产业链关键环节所属领域未包含在《深圳市绿色低碳</w:t>
      </w:r>
      <w:r>
        <w:rPr>
          <w:rFonts w:hint="eastAsia" w:ascii="Times New Roman"/>
          <w:highlight w:val="none"/>
          <w:lang w:val="en-US" w:eastAsia="zh-CN"/>
        </w:rPr>
        <w:t>产业指导目录</w:t>
      </w:r>
      <w:r>
        <w:rPr>
          <w:rFonts w:hint="eastAsia"/>
          <w:highlight w:val="none"/>
          <w:lang w:eastAsia="zh-CN"/>
        </w:rPr>
        <w:t>》中，但具有深圳代表性的典型行业，则由专家结合当下行业实际情况进行评审。</w:t>
      </w:r>
      <w:r>
        <w:rPr>
          <w:rFonts w:hint="eastAsia" w:ascii="Times New Roman"/>
          <w:highlight w:val="none"/>
        </w:rPr>
        <w:t>且</w:t>
      </w:r>
      <w:r>
        <w:rPr>
          <w:rFonts w:hint="eastAsia" w:ascii="Times New Roman" w:hAnsi="Times New Roman" w:eastAsia="宋体"/>
          <w:highlight w:val="none"/>
        </w:rPr>
        <w:t>其绿色业务占比达到50%或以上，或跨界规模达到1亿元、在国内外新兴领域超前领先。</w:t>
      </w:r>
    </w:p>
    <w:p>
      <w:pPr>
        <w:pStyle w:val="48"/>
        <w:spacing w:before="156" w:after="156"/>
        <w:rPr>
          <w:rFonts w:ascii="Times New Roman"/>
        </w:rPr>
      </w:pPr>
      <w:r>
        <w:rPr>
          <w:rFonts w:ascii="Times New Roman"/>
        </w:rPr>
        <w:t>技术符合</w:t>
      </w:r>
    </w:p>
    <w:p>
      <w:pPr>
        <w:pStyle w:val="24"/>
        <w:rPr>
          <w:rFonts w:ascii="Times New Roman"/>
        </w:rPr>
      </w:pPr>
      <w:r>
        <w:rPr>
          <w:rFonts w:hint="eastAsia" w:hAnsi="宋体" w:cs="宋体"/>
        </w:rPr>
        <w:t>提供的产品或服务应符合国家、广东省及深圳市相关主管部门发布的法律法规和政策标准要求，</w:t>
      </w:r>
      <w:r>
        <w:rPr>
          <w:rFonts w:hint="eastAsia" w:ascii="宋体" w:hAnsi="宋体" w:cs="宋体"/>
        </w:rPr>
        <w:t>相关</w:t>
      </w:r>
      <w:r>
        <w:rPr>
          <w:rFonts w:hint="eastAsia" w:hAnsi="宋体" w:cs="宋体"/>
          <w:szCs w:val="20"/>
          <w:highlight w:val="none"/>
          <w:lang w:eastAsia="zh-CN"/>
        </w:rPr>
        <w:t>充电设施及设备制造、换电设施及设备制造、</w:t>
      </w:r>
      <w:r>
        <w:rPr>
          <w:rFonts w:hint="eastAsia" w:ascii="宋体" w:hAnsi="宋体" w:eastAsia="宋体" w:cs="宋体"/>
          <w:szCs w:val="20"/>
          <w:highlight w:val="none"/>
          <w:lang w:eastAsia="zh-CN"/>
        </w:rPr>
        <w:t>充换电设施运营</w:t>
      </w:r>
      <w:r>
        <w:rPr>
          <w:rFonts w:hint="eastAsia" w:ascii="宋体" w:hAnsi="宋体" w:cs="宋体"/>
        </w:rPr>
        <w:t>情况符</w:t>
      </w:r>
      <w:r>
        <w:rPr>
          <w:rFonts w:hint="eastAsia" w:ascii="Times New Roman"/>
        </w:rPr>
        <w:t>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ascii="Times New Roman"/>
        </w:rPr>
      </w:pPr>
      <w:bookmarkStart w:id="88" w:name="_Toc82684150"/>
      <w:bookmarkEnd w:id="88"/>
      <w:bookmarkStart w:id="89" w:name="_Toc118282044"/>
      <w:bookmarkStart w:id="90" w:name="_Toc102992461"/>
      <w:bookmarkStart w:id="91" w:name="_Toc23925"/>
      <w:bookmarkStart w:id="92" w:name="_Toc817"/>
      <w:r>
        <w:rPr>
          <w:rFonts w:ascii="Times New Roman"/>
        </w:rPr>
        <w:t>综合评价</w:t>
      </w:r>
      <w:bookmarkEnd w:id="89"/>
      <w:bookmarkEnd w:id="90"/>
      <w:bookmarkEnd w:id="91"/>
      <w:bookmarkEnd w:id="92"/>
    </w:p>
    <w:p>
      <w:pPr>
        <w:pStyle w:val="48"/>
        <w:numPr>
          <w:ilvl w:val="-1"/>
          <w:numId w:val="0"/>
        </w:numPr>
        <w:spacing w:before="156" w:after="156"/>
        <w:ind w:firstLine="420" w:firstLineChars="200"/>
        <w:rPr>
          <w:rFonts w:hint="eastAsia" w:ascii="宋体" w:hAnsi="宋体" w:eastAsia="宋体" w:cs="宋体"/>
        </w:rPr>
      </w:pPr>
      <w:r>
        <w:rPr>
          <w:rFonts w:hint="eastAsia" w:ascii="宋体" w:hAnsi="宋体" w:eastAsia="宋体" w:cs="宋体"/>
          <w:lang w:eastAsia="zh-CN"/>
        </w:rPr>
        <w:t>充换电设施运营</w:t>
      </w:r>
      <w:r>
        <w:rPr>
          <w:rFonts w:hint="eastAsia" w:ascii="宋体" w:hAnsi="宋体" w:eastAsia="宋体" w:cs="宋体"/>
        </w:rPr>
        <w:t>企业</w:t>
      </w:r>
      <w:r>
        <w:rPr>
          <w:rFonts w:hint="eastAsia" w:ascii="宋体" w:hAnsi="宋体" w:eastAsia="宋体" w:cs="宋体"/>
          <w:lang w:eastAsia="zh-CN"/>
        </w:rPr>
        <w:t>充换电站应选取上线率的一半进行申报认定，充换电设施应选取至少</w:t>
      </w:r>
      <w:r>
        <w:rPr>
          <w:rFonts w:hint="eastAsia" w:ascii="宋体" w:hAnsi="宋体" w:eastAsia="宋体" w:cs="宋体"/>
          <w:lang w:val="en-US" w:eastAsia="zh-CN"/>
        </w:rPr>
        <w:t>5个进行评价，</w:t>
      </w:r>
      <w:r>
        <w:rPr>
          <w:rFonts w:hint="eastAsia" w:ascii="宋体" w:hAnsi="宋体" w:eastAsia="宋体" w:cs="宋体"/>
        </w:rPr>
        <w:t>平均分不少于85分，同时所有运营的充电设施评分均不应小于75分。</w:t>
      </w:r>
    </w:p>
    <w:p>
      <w:pPr>
        <w:pStyle w:val="48"/>
        <w:spacing w:before="156" w:after="156"/>
        <w:rPr>
          <w:rFonts w:ascii="Times New Roman"/>
        </w:rPr>
      </w:pPr>
      <w:r>
        <w:rPr>
          <w:rFonts w:ascii="Times New Roman"/>
        </w:rPr>
        <w:t>技术表现</w:t>
      </w:r>
    </w:p>
    <w:p>
      <w:pPr>
        <w:pStyle w:val="53"/>
        <w:numPr>
          <w:ilvl w:val="3"/>
          <w:numId w:val="2"/>
        </w:numPr>
        <w:spacing w:before="156" w:after="156"/>
        <w:rPr>
          <w:rFonts w:ascii="Times New Roman"/>
        </w:rPr>
      </w:pPr>
      <w:r>
        <w:rPr>
          <w:rFonts w:ascii="Times New Roman"/>
        </w:rPr>
        <w:t>先进性</w:t>
      </w:r>
    </w:p>
    <w:p>
      <w:pPr>
        <w:pStyle w:val="57"/>
        <w:spacing w:before="156" w:after="156"/>
        <w:rPr>
          <w:rFonts w:ascii="Times New Roman"/>
        </w:rPr>
      </w:pPr>
      <w:r>
        <w:rPr>
          <w:rFonts w:ascii="Times New Roman"/>
        </w:rPr>
        <w:t>有效知识产权</w:t>
      </w:r>
    </w:p>
    <w:p>
      <w:pPr>
        <w:pStyle w:val="24"/>
        <w:rPr>
          <w:rFonts w:hAnsi="宋体" w:cs="宋体"/>
        </w:rPr>
      </w:pPr>
      <w:r>
        <w:rPr>
          <w:rFonts w:hint="eastAsia" w:hAnsi="宋体" w:cs="宋体"/>
        </w:rPr>
        <w:t>有效知识产权是指在申请认定评价的绿色业务领域，通过自主研发、受让、受赠、并购等方式，</w:t>
      </w:r>
      <w:r>
        <w:rPr>
          <w:rFonts w:hint="eastAsia" w:hAnsi="宋体" w:cs="宋体"/>
          <w:lang w:eastAsia="zh-CN"/>
        </w:rPr>
        <w:t>近五年内</w:t>
      </w:r>
      <w:r>
        <w:rPr>
          <w:rFonts w:hint="eastAsia" w:hAnsi="宋体" w:cs="宋体"/>
        </w:rPr>
        <w:t>获得的</w:t>
      </w:r>
      <w:r>
        <w:rPr>
          <w:rFonts w:hint="eastAsia" w:hAnsi="宋体" w:cs="宋体"/>
          <w:lang w:eastAsia="zh-CN"/>
        </w:rPr>
        <w:t>有效</w:t>
      </w:r>
      <w:r>
        <w:rPr>
          <w:rFonts w:hint="eastAsia" w:hAnsi="宋体" w:cs="宋体"/>
        </w:rPr>
        <w:t>发明专利、实用新型、非简单改变产品图案和形状的外观设计、软件著作权。具体评分规则见表1。</w:t>
      </w:r>
    </w:p>
    <w:p>
      <w:pPr>
        <w:pStyle w:val="128"/>
        <w:rPr>
          <w:rFonts w:ascii="Times New Roman"/>
        </w:rPr>
      </w:pPr>
      <w:r>
        <w:rPr>
          <w:rFonts w:ascii="Times New Roman"/>
        </w:rPr>
        <w:t>有效知识产权评分规则表</w:t>
      </w:r>
    </w:p>
    <w:tbl>
      <w:tblPr>
        <w:tblStyle w:val="34"/>
        <w:tblW w:w="5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0"/>
        <w:gridCol w:w="1219"/>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4"/>
              <w:ind w:firstLine="0" w:firstLineChars="0"/>
              <w:jc w:val="center"/>
              <w:rPr>
                <w:rFonts w:hint="default" w:hAnsi="宋体" w:eastAsia="宋体" w:cs="宋体"/>
                <w:sz w:val="18"/>
                <w:szCs w:val="16"/>
                <w:lang w:val="en-US" w:eastAsia="zh-CN"/>
              </w:rPr>
            </w:pPr>
            <w:r>
              <w:rPr>
                <w:rFonts w:hint="eastAsia" w:hAnsi="宋体" w:cs="宋体"/>
                <w:sz w:val="18"/>
                <w:szCs w:val="16"/>
              </w:rPr>
              <w:t>≥</w:t>
            </w:r>
            <w:r>
              <w:rPr>
                <w:rFonts w:hint="eastAsia" w:hAnsi="宋体" w:cs="宋体"/>
                <w:sz w:val="18"/>
                <w:szCs w:val="16"/>
                <w:lang w:val="en-US" w:eastAsia="zh-CN"/>
              </w:rPr>
              <w:t>20</w:t>
            </w:r>
          </w:p>
        </w:tc>
        <w:tc>
          <w:tcPr>
            <w:tcW w:w="1219" w:type="dxa"/>
            <w:tcBorders>
              <w:top w:val="single" w:color="auto" w:sz="8"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5</w:t>
            </w:r>
          </w:p>
        </w:tc>
        <w:tc>
          <w:tcPr>
            <w:tcW w:w="1219" w:type="dxa"/>
            <w:vMerge w:val="restart"/>
            <w:tcBorders>
              <w:top w:val="single" w:color="auto" w:sz="8" w:space="0"/>
              <w:left w:val="single" w:color="auto" w:sz="4" w:space="0"/>
              <w:right w:val="single" w:color="auto" w:sz="8" w:space="0"/>
            </w:tcBorders>
            <w:vAlign w:val="center"/>
          </w:tcPr>
          <w:p>
            <w:pPr>
              <w:pStyle w:val="24"/>
              <w:ind w:firstLine="0" w:firstLineChars="0"/>
              <w:jc w:val="center"/>
              <w:rPr>
                <w:rFonts w:hint="eastAsia" w:hAnsi="宋体" w:cs="宋体"/>
                <w:sz w:val="18"/>
                <w:szCs w:val="16"/>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10</w:t>
            </w:r>
            <w:r>
              <w:rPr>
                <w:rFonts w:hint="eastAsia" w:hAnsi="宋体" w:cs="宋体"/>
                <w:sz w:val="18"/>
                <w:szCs w:val="16"/>
              </w:rPr>
              <w:t>,</w:t>
            </w:r>
            <w:r>
              <w:rPr>
                <w:rFonts w:hint="eastAsia" w:hAnsi="宋体" w:cs="宋体"/>
                <w:sz w:val="18"/>
                <w:szCs w:val="16"/>
                <w:lang w:val="en-US" w:eastAsia="zh-CN"/>
              </w:rPr>
              <w:t>20</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3</w:t>
            </w:r>
          </w:p>
        </w:tc>
        <w:tc>
          <w:tcPr>
            <w:tcW w:w="1219" w:type="dxa"/>
            <w:vMerge w:val="continue"/>
            <w:tcBorders>
              <w:left w:val="single" w:color="auto" w:sz="4" w:space="0"/>
              <w:right w:val="single" w:color="auto" w:sz="8" w:space="0"/>
            </w:tcBorders>
          </w:tcPr>
          <w:p>
            <w:pPr>
              <w:pStyle w:val="24"/>
              <w:ind w:firstLine="0" w:firstLineChars="0"/>
              <w:jc w:val="center"/>
              <w:rPr>
                <w:rFonts w:hint="eastAsia"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1</w:t>
            </w:r>
            <w:r>
              <w:rPr>
                <w:rFonts w:hint="eastAsia" w:hAnsi="宋体" w:cs="宋体"/>
                <w:sz w:val="18"/>
                <w:szCs w:val="16"/>
              </w:rPr>
              <w:t>,</w:t>
            </w:r>
            <w:r>
              <w:rPr>
                <w:rFonts w:hint="eastAsia" w:hAnsi="宋体" w:cs="宋体"/>
                <w:sz w:val="18"/>
                <w:szCs w:val="16"/>
                <w:lang w:val="en-US" w:eastAsia="zh-CN"/>
              </w:rPr>
              <w:t>10</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c>
          <w:tcPr>
            <w:tcW w:w="1219" w:type="dxa"/>
            <w:vMerge w:val="continue"/>
            <w:tcBorders>
              <w:left w:val="single" w:color="auto" w:sz="4" w:space="0"/>
              <w:right w:val="single" w:color="auto" w:sz="8" w:space="0"/>
            </w:tcBorders>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vAlign w:val="top"/>
          </w:tcPr>
          <w:p>
            <w:pPr>
              <w:pStyle w:val="24"/>
              <w:ind w:firstLine="0" w:firstLineChars="0"/>
              <w:jc w:val="center"/>
              <w:rPr>
                <w:rFonts w:hint="eastAsia" w:hAnsi="宋体" w:cs="宋体"/>
                <w:sz w:val="18"/>
                <w:szCs w:val="16"/>
              </w:rPr>
            </w:pP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vAlign w:val="top"/>
          </w:tcPr>
          <w:p>
            <w:pPr>
              <w:pStyle w:val="24"/>
              <w:ind w:firstLine="0" w:firstLineChars="0"/>
              <w:jc w:val="center"/>
              <w:rPr>
                <w:rFonts w:hint="eastAsia" w:hAnsi="宋体" w:cs="宋体"/>
                <w:sz w:val="18"/>
                <w:szCs w:val="16"/>
              </w:rPr>
            </w:pPr>
            <w:r>
              <w:rPr>
                <w:rFonts w:hint="eastAsia" w:hAnsi="宋体" w:cs="宋体"/>
                <w:sz w:val="18"/>
                <w:szCs w:val="16"/>
              </w:rPr>
              <w:t>0</w:t>
            </w:r>
          </w:p>
        </w:tc>
        <w:tc>
          <w:tcPr>
            <w:tcW w:w="1219" w:type="dxa"/>
            <w:vMerge w:val="continue"/>
            <w:tcBorders>
              <w:left w:val="single" w:color="auto" w:sz="4" w:space="0"/>
              <w:bottom w:val="single" w:color="auto" w:sz="8" w:space="0"/>
              <w:right w:val="single" w:color="auto" w:sz="8" w:space="0"/>
            </w:tcBorders>
            <w:vAlign w:val="top"/>
          </w:tcPr>
          <w:p>
            <w:pPr>
              <w:pStyle w:val="24"/>
              <w:ind w:firstLine="0" w:firstLineChars="0"/>
              <w:jc w:val="center"/>
              <w:rPr>
                <w:rFonts w:hint="eastAsia" w:hAnsi="宋体" w:cs="宋体"/>
                <w:sz w:val="18"/>
                <w:szCs w:val="16"/>
              </w:rPr>
            </w:pPr>
          </w:p>
        </w:tc>
      </w:tr>
    </w:tbl>
    <w:p>
      <w:pPr>
        <w:pStyle w:val="66"/>
        <w:ind w:left="780" w:leftChars="200" w:hanging="360" w:hangingChars="200"/>
        <w:rPr>
          <w:rFonts w:hint="eastAsia" w:hAnsi="宋体" w:cs="宋体"/>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24"/>
        <w:rPr>
          <w:rFonts w:hAnsi="宋体" w:cs="宋体"/>
        </w:rPr>
      </w:pPr>
      <w:r>
        <w:rPr>
          <w:rFonts w:hint="eastAsia" w:hAnsi="宋体" w:cs="宋体"/>
        </w:rPr>
        <w:t>有效知识产权数量采用加权法进行计算。在知识产权类别上，以发明专利为折算基数，实用新型专利按折算系数0.</w:t>
      </w:r>
      <w:r>
        <w:rPr>
          <w:rFonts w:hint="eastAsia" w:hAnsi="宋体" w:cs="宋体"/>
          <w:lang w:val="en-US" w:eastAsia="zh-CN"/>
        </w:rPr>
        <w:t>2</w:t>
      </w:r>
      <w:r>
        <w:rPr>
          <w:rFonts w:hint="eastAsia" w:hAnsi="宋体" w:cs="宋体"/>
        </w:rPr>
        <w:t>进行计算，软件著作权、外观设计专利数量按折算系数0.</w:t>
      </w:r>
      <w:r>
        <w:rPr>
          <w:rFonts w:hint="eastAsia" w:hAnsi="宋体" w:cs="宋体"/>
          <w:lang w:val="en-US" w:eastAsia="zh-CN"/>
        </w:rPr>
        <w:t>05</w:t>
      </w:r>
      <w:r>
        <w:rPr>
          <w:rFonts w:hint="eastAsia" w:hAnsi="宋体" w:cs="宋体"/>
        </w:rPr>
        <w:t>进行计算。在知识产权获得形式上，以自主研发为折算基数，通过受让、受赠、并购方式获取其所有权的，按折算系数0.5进行计算。计算公式如下：</w:t>
      </w:r>
    </w:p>
    <w:p>
      <w:pPr>
        <w:pStyle w:val="24"/>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ascii="Cambria Math" w:hAnsi="Cambria Math" w:cs="宋体"/>
          </w:rPr>
          <m:t>N</m:t>
        </m:r>
      </m:oMath>
      <w:r>
        <w:rPr>
          <w:rFonts w:hint="eastAsia" w:hAnsi="宋体" w:cs="宋体"/>
        </w:rPr>
        <w:t>——有效知识产权数量；</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4"/>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7"/>
        <w:spacing w:before="156" w:after="156"/>
        <w:rPr>
          <w:rFonts w:ascii="Times New Roman"/>
        </w:rPr>
      </w:pPr>
      <w:r>
        <w:rPr>
          <w:rFonts w:ascii="Times New Roman"/>
        </w:rPr>
        <w:t>参与制修订标准</w:t>
      </w:r>
    </w:p>
    <w:p>
      <w:pPr>
        <w:pStyle w:val="24"/>
        <w:rPr>
          <w:rFonts w:hint="eastAsia" w:hAnsi="宋体" w:cs="宋体"/>
        </w:rPr>
      </w:pPr>
      <w:r>
        <w:rPr>
          <w:rFonts w:hint="eastAsia" w:hAnsi="宋体" w:cs="宋体"/>
        </w:rPr>
        <w:t>参与制修订标准是指在申请认定评价的绿色业务领域，</w:t>
      </w:r>
      <w:r>
        <w:rPr>
          <w:rFonts w:hint="eastAsia" w:hAnsi="宋体" w:cs="宋体"/>
          <w:lang w:eastAsia="zh-CN"/>
        </w:rPr>
        <w:t>近五年内</w:t>
      </w:r>
      <w:r>
        <w:rPr>
          <w:rFonts w:hint="eastAsia" w:hAnsi="宋体" w:cs="宋体"/>
        </w:rPr>
        <w:t>参与国家标准、行业标准、地方标准</w:t>
      </w:r>
      <w:r>
        <w:rPr>
          <w:rFonts w:hint="eastAsia" w:hAnsi="宋体" w:cs="宋体"/>
          <w:lang w:eastAsia="zh-CN"/>
        </w:rPr>
        <w:t>、团体标准</w:t>
      </w:r>
      <w:r>
        <w:rPr>
          <w:rFonts w:hint="eastAsia" w:hAnsi="宋体" w:cs="宋体"/>
        </w:rPr>
        <w:t>的制修订工作。具体评分规则见表2。</w:t>
      </w:r>
    </w:p>
    <w:p>
      <w:pPr>
        <w:pStyle w:val="128"/>
        <w:rPr>
          <w:rFonts w:ascii="Times New Roman"/>
        </w:rPr>
      </w:pPr>
      <w:r>
        <w:rPr>
          <w:rFonts w:ascii="Times New Roman"/>
        </w:rPr>
        <w:t>参与制修订标准评分规则表</w:t>
      </w:r>
    </w:p>
    <w:tbl>
      <w:tblPr>
        <w:tblStyle w:val="34"/>
        <w:tblW w:w="52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9"/>
        <w:gridCol w:w="1167"/>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c>
          <w:tcPr>
            <w:tcW w:w="1167" w:type="dxa"/>
            <w:vMerge w:val="restart"/>
            <w:tcBorders>
              <w:top w:val="single" w:color="auto" w:sz="4" w:space="0"/>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[1,2)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lang w:eastAsia="zh-CN"/>
              </w:rPr>
              <w:t>（</w:t>
            </w:r>
            <w:r>
              <w:rPr>
                <w:rFonts w:hint="eastAsia" w:hAnsi="宋体" w:cs="宋体"/>
                <w:sz w:val="18"/>
                <w:szCs w:val="16"/>
              </w:rPr>
              <w:t>0,1)</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c>
          <w:tcPr>
            <w:tcW w:w="1167" w:type="dxa"/>
            <w:vMerge w:val="continue"/>
            <w:tcBorders>
              <w:left w:val="single" w:color="auto" w:sz="4" w:space="0"/>
              <w:bottom w:val="single" w:color="auto" w:sz="8"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bl>
    <w:p>
      <w:pPr>
        <w:pStyle w:val="24"/>
        <w:rPr>
          <w:rFonts w:hAnsi="宋体" w:cs="宋体"/>
        </w:rPr>
      </w:pPr>
      <w:r>
        <w:rPr>
          <w:rFonts w:hint="eastAsia" w:hAnsi="宋体" w:cs="宋体"/>
        </w:rPr>
        <w:t>参与制修订标准数量采用加权法进行计算。在标准类别上，以国家标准及行业标准为折算基数，地方标准按折算系数0.5进行计算</w:t>
      </w:r>
      <w:r>
        <w:rPr>
          <w:rFonts w:hint="eastAsia" w:hAnsi="宋体" w:cs="宋体"/>
          <w:lang w:eastAsia="zh-CN"/>
        </w:rPr>
        <w:t>，团体标准按折算系数</w:t>
      </w:r>
      <w:r>
        <w:rPr>
          <w:rFonts w:hint="eastAsia" w:hAnsi="宋体" w:cs="宋体"/>
          <w:lang w:val="en-US" w:eastAsia="zh-CN"/>
        </w:rPr>
        <w:t>0.2进行计算</w:t>
      </w:r>
      <w:r>
        <w:rPr>
          <w:rFonts w:hint="eastAsia" w:hAnsi="宋体" w:cs="宋体"/>
        </w:rPr>
        <w:t>；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w:t>
      </w:r>
      <w:r>
        <w:rPr>
          <w:rFonts w:hint="eastAsia" w:hAnsi="宋体" w:cs="宋体"/>
          <w:lang w:eastAsia="zh-CN"/>
        </w:rPr>
        <w:t>最后一名</w:t>
      </w:r>
      <w:r>
        <w:rPr>
          <w:rFonts w:hint="eastAsia" w:hAnsi="宋体" w:cs="宋体"/>
        </w:rPr>
        <w:t>，视为参与制定标准单位。如排名前五名的起草单位中有行政机关单位的，名次可相应顺延。计算公式如下：</w:t>
      </w:r>
    </w:p>
    <w:p>
      <w:pPr>
        <w:pStyle w:val="129"/>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7"/>
        <w:spacing w:before="156" w:after="156"/>
        <w:rPr>
          <w:rFonts w:ascii="Times New Roman"/>
        </w:rPr>
      </w:pPr>
      <w:r>
        <w:rPr>
          <w:rFonts w:hint="eastAsia" w:ascii="Times New Roman"/>
          <w:lang w:eastAsia="zh-CN"/>
        </w:rPr>
        <w:t>绿色电力消费</w:t>
      </w:r>
    </w:p>
    <w:p>
      <w:pPr>
        <w:pStyle w:val="24"/>
        <w:rPr>
          <w:rFonts w:hint="eastAsia"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eastAsia="zh-CN"/>
        </w:rPr>
        <w:t>绿色电力消费是指提供产品/服务的企事业单位，采用三年平均值评估</w:t>
      </w:r>
      <w:r>
        <w:rPr>
          <w:rFonts w:hint="eastAsia" w:ascii="宋体" w:hAnsi="宋体" w:eastAsia="宋体" w:cs="宋体"/>
          <w:sz w:val="21"/>
          <w:highlight w:val="none"/>
          <w:lang w:val="en-US" w:eastAsia="zh-CN" w:bidi="ar-SA"/>
        </w:rPr>
        <w:t>（实际经营期不满三年的，按实际经营时间计算）</w:t>
      </w:r>
      <w:r>
        <w:rPr>
          <w:rFonts w:hint="eastAsia" w:hAnsi="宋体" w:cs="宋体"/>
          <w:b w:val="0"/>
          <w:bCs w:val="0"/>
          <w:i w:val="0"/>
          <w:iCs w:val="0"/>
          <w:caps w:val="0"/>
          <w:spacing w:val="0"/>
          <w:sz w:val="21"/>
          <w:szCs w:val="20"/>
          <w:lang w:eastAsia="zh-CN"/>
        </w:rPr>
        <w:t>消耗的绿色电力品种和比例。绿色电力获取方式包括可再生能源绿色电力证书、自有发电设施直供电和购售电协议。具体评分规则见表</w:t>
      </w:r>
      <w:r>
        <w:rPr>
          <w:rFonts w:hint="eastAsia" w:hAnsi="宋体" w:cs="宋体"/>
          <w:b w:val="0"/>
          <w:bCs w:val="0"/>
          <w:i w:val="0"/>
          <w:iCs w:val="0"/>
          <w:caps w:val="0"/>
          <w:spacing w:val="0"/>
          <w:sz w:val="21"/>
          <w:szCs w:val="20"/>
          <w:lang w:val="en-US" w:eastAsia="zh-CN"/>
        </w:rPr>
        <w:t>3。</w:t>
      </w:r>
    </w:p>
    <w:p>
      <w:pPr>
        <w:pStyle w:val="128"/>
        <w:rPr>
          <w:rFonts w:hint="default"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val="en-US" w:eastAsia="zh-CN"/>
        </w:rPr>
        <w:t>绿色电力消费评分规则表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int="default" w:ascii="Times New Roman" w:eastAsia="宋体"/>
                <w:b/>
                <w:bCs/>
                <w:sz w:val="18"/>
                <w:szCs w:val="16"/>
                <w:lang w:val="en-US" w:eastAsia="zh-CN"/>
              </w:rPr>
            </w:pPr>
            <w:r>
              <w:rPr>
                <w:rFonts w:hint="eastAsia" w:ascii="Times New Roman"/>
                <w:b/>
                <w:bCs/>
                <w:sz w:val="18"/>
                <w:szCs w:val="16"/>
                <w:lang w:eastAsia="zh-CN"/>
              </w:rPr>
              <w:t>绿色电力消费</w:t>
            </w:r>
            <w:r>
              <w:rPr>
                <w:rFonts w:hint="eastAsia" w:ascii="Times New Roman"/>
                <w:b/>
                <w:bCs/>
                <w:sz w:val="18"/>
                <w:szCs w:val="16"/>
                <w:lang w:val="en-US" w:eastAsia="zh-CN"/>
              </w:rPr>
              <w:t>（%）</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int="default" w:hAnsi="宋体" w:cs="宋体"/>
                <w:sz w:val="18"/>
                <w:szCs w:val="16"/>
                <w:lang w:val="en-US"/>
              </w:rPr>
            </w:pPr>
            <w:r>
              <w:rPr>
                <w:rFonts w:hint="eastAsia" w:hAnsi="宋体" w:cs="宋体"/>
                <w:sz w:val="18"/>
                <w:szCs w:val="16"/>
                <w:lang w:eastAsia="zh-CN"/>
              </w:rPr>
              <w:t>≥</w:t>
            </w:r>
            <w:r>
              <w:rPr>
                <w:rFonts w:hint="eastAsia" w:hAnsi="宋体" w:cs="宋体"/>
                <w:sz w:val="18"/>
                <w:szCs w:val="16"/>
                <w:lang w:val="en-US" w:eastAsia="zh-CN"/>
              </w:rPr>
              <w:t>45%</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5</w:t>
            </w:r>
          </w:p>
        </w:tc>
        <w:tc>
          <w:tcPr>
            <w:tcW w:w="1167" w:type="dxa"/>
            <w:vMerge w:val="restart"/>
            <w:tcBorders>
              <w:top w:val="single" w:color="auto" w:sz="4" w:space="0"/>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r>
              <w:rPr>
                <w:rFonts w:hint="eastAsia" w:hAnsi="宋体" w:cs="宋体"/>
                <w:sz w:val="18"/>
                <w:szCs w:val="18"/>
              </w:rPr>
              <w:t>优质中小企业相应基础分值加</w:t>
            </w:r>
            <w:r>
              <w:rPr>
                <w:rFonts w:hint="eastAsia" w:hAnsi="宋体" w:cs="宋体"/>
                <w:sz w:val="18"/>
                <w:szCs w:val="18"/>
                <w:lang w:val="en-US" w:eastAsia="zh-CN"/>
              </w:rPr>
              <w:t>1</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35%</w:t>
            </w:r>
            <w:r>
              <w:rPr>
                <w:rFonts w:hint="eastAsia" w:hAnsi="宋体" w:cs="宋体"/>
                <w:sz w:val="18"/>
                <w:szCs w:val="16"/>
              </w:rPr>
              <w:t>,</w:t>
            </w:r>
            <w:r>
              <w:rPr>
                <w:rFonts w:hint="eastAsia" w:hAnsi="宋体" w:cs="宋体"/>
                <w:sz w:val="18"/>
                <w:szCs w:val="16"/>
                <w:lang w:val="en-US" w:eastAsia="zh-CN"/>
              </w:rPr>
              <w:t>40%</w:t>
            </w:r>
            <w:r>
              <w:rPr>
                <w:rFonts w:hint="eastAsia" w:hAnsi="宋体" w:cs="宋体"/>
                <w:sz w:val="18"/>
                <w:szCs w:val="16"/>
              </w:rPr>
              <w:t>)</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30%，35%</w:t>
            </w:r>
            <w:r>
              <w:rPr>
                <w:rFonts w:hint="eastAsia" w:hAnsi="宋体" w:cs="宋体"/>
                <w:sz w:val="18"/>
                <w:szCs w:val="16"/>
              </w:rPr>
              <w:t>)</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int="eastAsia" w:hAnsi="宋体" w:cs="宋体"/>
                <w:sz w:val="18"/>
                <w:szCs w:val="16"/>
              </w:rPr>
            </w:pPr>
            <w:r>
              <w:rPr>
                <w:rFonts w:hint="eastAsia" w:hAnsi="宋体" w:cs="宋体"/>
                <w:sz w:val="18"/>
                <w:szCs w:val="16"/>
              </w:rPr>
              <w:t>[</w:t>
            </w:r>
            <w:r>
              <w:rPr>
                <w:rFonts w:hint="eastAsia" w:hAnsi="宋体" w:cs="宋体"/>
                <w:sz w:val="18"/>
                <w:szCs w:val="16"/>
                <w:lang w:val="en-US" w:eastAsia="zh-CN"/>
              </w:rPr>
              <w:t>25%，30%</w:t>
            </w:r>
            <w:r>
              <w:rPr>
                <w:rFonts w:hint="eastAsia" w:hAnsi="宋体" w:cs="宋体"/>
                <w:sz w:val="18"/>
                <w:szCs w:val="16"/>
              </w:rPr>
              <w:t>)</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val="en-US" w:eastAsia="zh-CN"/>
              </w:rPr>
            </w:pPr>
            <w:r>
              <w:rPr>
                <w:rFonts w:hint="eastAsia" w:hAnsi="宋体" w:cs="宋体"/>
                <w:sz w:val="18"/>
                <w:szCs w:val="16"/>
                <w:lang w:val="en-US" w:eastAsia="zh-CN"/>
              </w:rPr>
              <w:t>1</w:t>
            </w:r>
          </w:p>
        </w:tc>
        <w:tc>
          <w:tcPr>
            <w:tcW w:w="1167" w:type="dxa"/>
            <w:vMerge w:val="continue"/>
            <w:tcBorders>
              <w:left w:val="single" w:color="auto" w:sz="4" w:space="0"/>
              <w:bottom w:val="single" w:color="auto" w:sz="8"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bl>
    <w:p>
      <w:pPr>
        <w:spacing w:before="156" w:after="156"/>
        <w:ind w:firstLine="420" w:firstLineChars="200"/>
        <w:rPr>
          <w:rFonts w:hint="default" w:ascii="黑体" w:hAnsi="Times New Roman" w:eastAsia="黑体" w:cs="Times New Roman"/>
          <w:szCs w:val="21"/>
          <w:lang w:val="en-US" w:eastAsia="zh-CN"/>
        </w:rPr>
      </w:pPr>
      <w:r>
        <w:rPr>
          <w:rFonts w:hint="default"/>
          <w:lang w:val="en-US" w:eastAsia="zh-CN"/>
        </w:rPr>
        <w:t>绿色电力消费计算公式如下：</w:t>
      </w:r>
    </w:p>
    <w:p>
      <w:pPr>
        <w:pStyle w:val="129"/>
        <w:spacing w:before="156" w:after="156"/>
        <w:jc w:val="center"/>
        <w:rPr>
          <w:rFonts w:hint="default" w:ascii="Cambria Math" w:hAnsi="Cambria Math" w:eastAsia="宋体" w:cs="Times New Roman"/>
          <w:i w:val="0"/>
          <w:iCs/>
          <w:szCs w:val="20"/>
          <w:lang w:val="en-US" w:eastAsia="zh-CN"/>
        </w:rPr>
      </w:pPr>
      <m:oMath>
        <m:r>
          <m:rPr/>
          <w:rPr>
            <w:rFonts w:hint="default" w:ascii="Cambria Math" w:hAnsi="Cambria Math" w:eastAsia="宋体" w:cs="Times New Roman"/>
            <w:szCs w:val="20"/>
            <w:lang w:val="en-US" w:eastAsia="zh-CN"/>
          </w:rPr>
          <m:t>RP=</m:t>
        </m:r>
        <m:f>
          <m:fPr>
            <m:ctrlPr>
              <w:rPr>
                <w:rFonts w:hint="default" w:ascii="Cambria Math" w:hAnsi="Cambria Math" w:eastAsia="宋体" w:cs="Times New Roman"/>
                <w:i/>
                <w:iCs w:val="0"/>
                <w:szCs w:val="20"/>
                <w:lang w:val="en-US" w:eastAsia="zh-CN"/>
              </w:rPr>
            </m:ctrlPr>
          </m:fPr>
          <m:num>
            <m:r>
              <m:rPr/>
              <w:rPr>
                <w:rFonts w:hint="default" w:ascii="Cambria Math" w:hAnsi="Cambria Math" w:eastAsia="宋体" w:cs="Times New Roman"/>
                <w:szCs w:val="20"/>
                <w:lang w:val="en-US" w:eastAsia="zh-CN"/>
              </w:rPr>
              <m:t>rg+ra+rgc</m:t>
            </m:r>
            <m:ctrlPr>
              <w:rPr>
                <w:rFonts w:hint="default" w:ascii="Cambria Math" w:hAnsi="Cambria Math" w:eastAsia="宋体" w:cs="Times New Roman"/>
                <w:i/>
                <w:iCs w:val="0"/>
                <w:szCs w:val="20"/>
                <w:lang w:val="en-US" w:eastAsia="zh-CN"/>
              </w:rPr>
            </m:ctrlPr>
          </m:num>
          <m:den>
            <m:r>
              <m:rPr/>
              <w:rPr>
                <w:rFonts w:hint="default" w:ascii="Cambria Math" w:hAnsi="Cambria Math" w:eastAsia="宋体" w:cs="Times New Roman"/>
                <w:szCs w:val="20"/>
                <w:lang w:val="en-US" w:eastAsia="zh-CN"/>
              </w:rPr>
              <m:t>EF</m:t>
            </m:r>
            <m:ctrlPr>
              <w:rPr>
                <w:rFonts w:hint="default" w:ascii="Cambria Math" w:hAnsi="Cambria Math" w:eastAsia="宋体" w:cs="Times New Roman"/>
                <w:i/>
                <w:iCs w:val="0"/>
                <w:szCs w:val="20"/>
                <w:lang w:val="en-US" w:eastAsia="zh-CN"/>
              </w:rPr>
            </m:ctrlPr>
          </m:den>
        </m:f>
        <m:r>
          <m:rPr/>
          <w:rPr>
            <w:rFonts w:hint="default" w:ascii="Cambria Math" w:hAnsi="Cambria Math" w:eastAsia="宋体" w:cs="Times New Roman"/>
            <w:szCs w:val="20"/>
            <w:lang w:val="en-US" w:eastAsia="zh-CN"/>
          </w:rPr>
          <m:t>×</m:t>
        </m:r>
        <m:r>
          <m:rPr>
            <m:sty m:val="p"/>
          </m:rPr>
          <w:rPr>
            <w:rFonts w:hint="default" w:ascii="Cambria Math" w:hAnsi="Cambria Math" w:eastAsia="宋体" w:cs="Times New Roman"/>
            <w:szCs w:val="20"/>
            <w:lang w:val="en-US" w:eastAsia="zh-CN"/>
          </w:rPr>
          <m:t>1</m:t>
        </m:r>
      </m:oMath>
      <w:r>
        <w:rPr>
          <w:rFonts w:hint="default" w:ascii="Cambria Math" w:hAnsi="Cambria Math" w:eastAsia="宋体" w:cs="Times New Roman"/>
          <w:i w:val="0"/>
          <w:iCs/>
          <w:szCs w:val="20"/>
          <w:lang w:val="en-US" w:eastAsia="zh-CN"/>
        </w:rPr>
        <w:t>00%</w:t>
      </w:r>
    </w:p>
    <w:p>
      <w:pPr>
        <w:spacing w:before="156" w:after="156"/>
        <w:ind w:firstLine="420" w:firstLineChars="200"/>
        <w:rPr>
          <w:rFonts w:hint="eastAsia" w:ascii="宋体" w:hAnsi="宋体" w:eastAsia="宋体" w:cs="宋体"/>
          <w:b w:val="0"/>
          <w:i w:val="0"/>
          <w:kern w:val="0"/>
          <w:sz w:val="21"/>
          <w:szCs w:val="20"/>
          <w:lang w:val="en-US" w:eastAsia="zh-CN"/>
        </w:rPr>
      </w:pPr>
      <w:r>
        <w:rPr>
          <w:rFonts w:hint="eastAsia" w:ascii="宋体" w:hAnsi="宋体" w:cs="宋体"/>
          <w:b w:val="0"/>
          <w:i w:val="0"/>
          <w:kern w:val="0"/>
          <w:sz w:val="21"/>
          <w:szCs w:val="20"/>
          <w:lang w:val="en-US" w:eastAsia="zh-CN"/>
        </w:rPr>
        <w:t>式中：</w:t>
      </w:r>
    </w:p>
    <w:p>
      <w:pPr>
        <w:spacing w:before="0" w:after="0"/>
        <w:ind w:firstLine="0" w:firstLineChars="0"/>
        <w:rPr>
          <w:rFonts w:hint="default" w:ascii="宋体" w:hAnsi="宋体" w:eastAsia="宋体" w:cs="宋体"/>
          <w:b w:val="0"/>
          <w:i w:val="0"/>
          <w:kern w:val="0"/>
          <w:sz w:val="21"/>
          <w:szCs w:val="20"/>
          <w:lang w:val="en-US" w:eastAsia="zh-CN"/>
        </w:rPr>
      </w:pPr>
      <m:oMath>
        <m:r>
          <m:rPr>
            <m:sty m:val="p"/>
          </m:rPr>
          <w:rPr>
            <w:rFonts w:hint="default" w:ascii="Cambria Math" w:hAnsi="Cambria Math" w:cs="宋体"/>
            <w:kern w:val="0"/>
            <w:sz w:val="21"/>
            <w:szCs w:val="20"/>
            <w:lang w:val="en-US" w:eastAsia="zh-CN"/>
          </w:rPr>
          <m:t xml:space="preserve">         </m:t>
        </m:r>
        <m:r>
          <m:rPr>
            <m:sty m:val="p"/>
          </m:rPr>
          <w:rPr>
            <w:rFonts w:hint="eastAsia" w:ascii="Cambria Math" w:hAnsi="Cambria Math" w:eastAsia="宋体" w:cs="宋体"/>
            <w:kern w:val="0"/>
            <w:sz w:val="21"/>
            <w:szCs w:val="20"/>
            <w:lang w:val="en-US" w:eastAsia="zh-CN"/>
          </w:rPr>
          <m:t>RP</m:t>
        </m:r>
      </m:oMath>
      <w:r>
        <w:rPr>
          <w:rFonts w:hint="default" w:ascii="宋体" w:hAnsi="宋体" w:eastAsia="宋体" w:cs="宋体"/>
          <w:b w:val="0"/>
          <w:i w:val="0"/>
          <w:kern w:val="0"/>
          <w:sz w:val="21"/>
          <w:szCs w:val="20"/>
          <w:lang w:val="en-US" w:eastAsia="zh-CN"/>
        </w:rPr>
        <w:t>:年度报告周期内企业绿色电力消耗百分比。</w:t>
      </w:r>
    </w:p>
    <w:p>
      <w:pPr>
        <w:spacing w:before="0" w:after="0"/>
        <w:ind w:firstLine="420" w:firstLineChars="2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rg</m:t>
        </m:r>
      </m:oMath>
      <w:r>
        <w:rPr>
          <w:rFonts w:hint="default" w:ascii="宋体" w:hAnsi="宋体" w:eastAsia="宋体" w:cs="宋体"/>
          <w:b w:val="0"/>
          <w:i w:val="0"/>
          <w:kern w:val="0"/>
          <w:sz w:val="21"/>
          <w:szCs w:val="20"/>
          <w:lang w:val="en-US" w:eastAsia="zh-CN"/>
        </w:rPr>
        <w:t>：年度报告周期内企业从自建发电设施获得的绿色电力总和/MWh。</w:t>
      </w:r>
    </w:p>
    <w:p>
      <w:pPr>
        <w:spacing w:before="0" w:after="0"/>
        <w:ind w:firstLine="210" w:firstLineChars="1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ra</m:t>
        </m:r>
      </m:oMath>
      <w:r>
        <w:rPr>
          <w:rFonts w:hint="default" w:ascii="宋体" w:hAnsi="宋体" w:eastAsia="宋体" w:cs="宋体"/>
          <w:b w:val="0"/>
          <w:i w:val="0"/>
          <w:kern w:val="0"/>
          <w:sz w:val="21"/>
          <w:szCs w:val="20"/>
          <w:lang w:val="en-US" w:eastAsia="zh-CN"/>
        </w:rPr>
        <w:t>：年度报告周期内企业通过购电协议获得的绿色电力总和/MWh。</w:t>
      </w:r>
    </w:p>
    <w:p>
      <w:pPr>
        <w:spacing w:before="0" w:after="0"/>
        <w:ind w:firstLine="210" w:firstLineChars="1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rgc</m:t>
        </m:r>
      </m:oMath>
      <w:r>
        <w:rPr>
          <w:rFonts w:hint="default" w:ascii="宋体" w:hAnsi="宋体" w:eastAsia="宋体" w:cs="宋体"/>
          <w:b w:val="0"/>
          <w:i w:val="0"/>
          <w:kern w:val="0"/>
          <w:sz w:val="21"/>
          <w:szCs w:val="20"/>
          <w:lang w:val="en-US" w:eastAsia="zh-CN"/>
        </w:rPr>
        <w:t>：年度报告周期内购买可再生能源绿色电力证书数量总和/MWh。</w:t>
      </w:r>
    </w:p>
    <w:p>
      <w:pPr>
        <w:spacing w:before="0" w:after="0"/>
        <w:ind w:firstLine="210" w:firstLineChars="100"/>
        <w:rPr>
          <w:rFonts w:hint="eastAsia" w:ascii="宋体" w:hAnsi="宋体" w:cs="宋体"/>
          <w:kern w:val="0"/>
          <w:szCs w:val="20"/>
        </w:rPr>
      </w:pPr>
      <m:oMath>
        <m:r>
          <m:rPr>
            <m:sty m:val="p"/>
          </m:rPr>
          <w:rPr>
            <w:rFonts w:hint="eastAsia" w:ascii="Cambria Math" w:hAnsi="Cambria Math" w:eastAsia="宋体" w:cs="宋体"/>
            <w:kern w:val="0"/>
            <w:sz w:val="21"/>
            <w:szCs w:val="20"/>
            <w:lang w:val="en-US" w:eastAsia="zh-CN"/>
          </w:rPr>
          <m:t>EF</m:t>
        </m:r>
      </m:oMath>
      <w:r>
        <w:rPr>
          <w:rFonts w:hint="default" w:ascii="宋体" w:hAnsi="宋体" w:eastAsia="宋体" w:cs="宋体"/>
          <w:b w:val="0"/>
          <w:i w:val="0"/>
          <w:kern w:val="0"/>
          <w:sz w:val="21"/>
          <w:szCs w:val="20"/>
          <w:lang w:val="en-US" w:eastAsia="zh-CN"/>
        </w:rPr>
        <w:t>：企业年度报告周期内实际消耗的电力总和/MWh。</w:t>
      </w:r>
    </w:p>
    <w:p>
      <w:pPr>
        <w:pStyle w:val="57"/>
        <w:spacing w:before="156" w:after="156"/>
        <w:rPr>
          <w:rFonts w:ascii="Times New Roman"/>
        </w:rPr>
      </w:pPr>
      <w:r>
        <w:rPr>
          <w:rFonts w:ascii="Times New Roman"/>
        </w:rPr>
        <w:t>关键技术先进性</w:t>
      </w:r>
    </w:p>
    <w:p>
      <w:pPr>
        <w:autoSpaceDE w:val="0"/>
        <w:autoSpaceDN w:val="0"/>
        <w:ind w:firstLine="420" w:firstLineChars="200"/>
        <w:rPr>
          <w:rFonts w:hint="eastAsia"/>
          <w:szCs w:val="21"/>
          <w:highlight w:val="yellow"/>
        </w:rPr>
      </w:pPr>
      <w:r>
        <w:rPr>
          <w:rFonts w:hint="eastAsia" w:ascii="宋体" w:hAnsi="宋体" w:cs="宋体"/>
          <w:kern w:val="0"/>
          <w:szCs w:val="20"/>
        </w:rPr>
        <w:t>关键技术先进性根据</w:t>
      </w:r>
      <w:r>
        <w:rPr>
          <w:rFonts w:hint="eastAsia" w:ascii="宋体" w:hAnsi="宋体" w:cs="宋体"/>
          <w:kern w:val="0"/>
          <w:szCs w:val="20"/>
          <w:lang w:eastAsia="zh-CN"/>
        </w:rPr>
        <w:t>充电、换电设施设备制造与运营</w:t>
      </w:r>
      <w:r>
        <w:rPr>
          <w:rFonts w:hint="eastAsia" w:ascii="宋体" w:hAnsi="宋体" w:cs="宋体"/>
          <w:kern w:val="0"/>
          <w:szCs w:val="20"/>
        </w:rPr>
        <w:t>产业链情况选取不同评价指标，具体评分规则见表</w:t>
      </w:r>
      <w:r>
        <w:rPr>
          <w:rFonts w:hint="eastAsia" w:ascii="宋体" w:hAnsi="宋体" w:cs="宋体"/>
          <w:kern w:val="0"/>
          <w:szCs w:val="20"/>
          <w:lang w:val="en-US" w:eastAsia="zh-CN"/>
        </w:rPr>
        <w:t>4</w:t>
      </w:r>
      <w:r>
        <w:rPr>
          <w:rFonts w:hint="eastAsia" w:ascii="宋体" w:hAnsi="宋体" w:cs="宋体"/>
          <w:kern w:val="0"/>
          <w:szCs w:val="20"/>
        </w:rPr>
        <w:t>。</w:t>
      </w:r>
      <w:r>
        <w:rPr>
          <w:rFonts w:hint="eastAsia" w:ascii="宋体" w:hAnsi="宋体" w:cs="宋体"/>
          <w:kern w:val="0"/>
          <w:szCs w:val="20"/>
          <w:highlight w:val="none"/>
          <w:lang w:eastAsia="zh-CN"/>
        </w:rPr>
        <w:t>充电设施及设备制造、换电设施及设备制造、</w:t>
      </w:r>
      <w:r>
        <w:rPr>
          <w:rFonts w:hint="eastAsia" w:ascii="宋体" w:hAnsi="宋体" w:eastAsia="宋体" w:cs="宋体"/>
          <w:kern w:val="0"/>
          <w:szCs w:val="20"/>
          <w:highlight w:val="none"/>
          <w:lang w:eastAsia="zh-CN"/>
        </w:rPr>
        <w:t>充换电设施运营</w:t>
      </w:r>
      <w:r>
        <w:rPr>
          <w:rFonts w:hint="eastAsia" w:ascii="宋体" w:hAnsi="宋体" w:eastAsia="宋体" w:cs="宋体"/>
          <w:kern w:val="0"/>
          <w:szCs w:val="20"/>
          <w:lang w:eastAsia="zh-CN"/>
        </w:rPr>
        <w:t>的</w:t>
      </w:r>
      <w:r>
        <w:rPr>
          <w:rFonts w:hint="eastAsia" w:ascii="宋体" w:hAnsi="宋体" w:eastAsia="宋体" w:cs="宋体"/>
          <w:kern w:val="0"/>
          <w:szCs w:val="20"/>
        </w:rPr>
        <w:t>具体评价内容及评价方法见表4—表</w:t>
      </w:r>
      <w:r>
        <w:rPr>
          <w:rFonts w:hint="eastAsia" w:ascii="宋体" w:hAnsi="宋体" w:cs="宋体"/>
          <w:kern w:val="0"/>
          <w:szCs w:val="20"/>
          <w:lang w:eastAsia="zh-CN"/>
        </w:rPr>
        <w:t>7</w:t>
      </w:r>
      <w:r>
        <w:rPr>
          <w:rFonts w:hint="eastAsia" w:ascii="宋体" w:hAnsi="宋体" w:eastAsia="宋体" w:cs="宋体"/>
          <w:kern w:val="0"/>
          <w:szCs w:val="20"/>
        </w:rPr>
        <w:t>。</w:t>
      </w:r>
      <w:r>
        <w:rPr>
          <w:rFonts w:hint="eastAsia" w:ascii="宋体" w:hAnsi="宋体" w:cs="宋体"/>
          <w:kern w:val="0"/>
          <w:szCs w:val="20"/>
        </w:rPr>
        <w:t>未有相关标准明确关键技术先进性评价指标时，参考行业国内外发展的实际技术先进水平进行评价。</w:t>
      </w:r>
    </w:p>
    <w:p>
      <w:pPr>
        <w:pStyle w:val="128"/>
        <w:numPr>
          <w:ilvl w:val="0"/>
          <w:numId w:val="17"/>
        </w:numPr>
        <w:spacing w:before="156" w:beforeLines="50" w:after="156" w:afterLines="50"/>
        <w:jc w:val="center"/>
        <w:rPr>
          <w:rFonts w:hint="eastAsia" w:hAnsi="宋体" w:eastAsia="黑体" w:cs="宋体"/>
        </w:rPr>
      </w:pPr>
      <w:r>
        <w:rPr>
          <w:rFonts w:hint="eastAsia" w:hAnsi="宋体" w:eastAsia="黑体" w:cs="宋体"/>
        </w:rPr>
        <w:t>关键技术先进性评分规则表</w:t>
      </w:r>
    </w:p>
    <w:tbl>
      <w:tblPr>
        <w:tblStyle w:val="34"/>
        <w:tblW w:w="59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3"/>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1256"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认定工作相关要求的基础上，处于行业领先水平，对产业（行业）具有显著技术引领作用。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,1</w:t>
            </w:r>
            <w:r>
              <w:rPr>
                <w:rFonts w:hint="eastAsia" w:ascii="宋体" w:hAnsi="宋体" w:cs="宋体"/>
                <w:sz w:val="18"/>
                <w:szCs w:val="16"/>
                <w:lang w:val="en-US" w:eastAsia="zh-CN"/>
              </w:rPr>
              <w:t>0</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认定工作相关要求的基础上，处于行业较好水平，对产业（行业）具有一定技术推动作用。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4</w:t>
            </w: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认定工作相关要求的基础上，处于行业平均水平。</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r>
              <w:rPr>
                <w:rFonts w:hint="eastAsia" w:ascii="宋体" w:hAnsi="宋体" w:cs="宋体"/>
                <w:sz w:val="18"/>
                <w:szCs w:val="16"/>
                <w:lang w:val="en-US" w:eastAsia="zh-CN"/>
              </w:rPr>
              <w:t>4</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未满足上述任何一项。</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pStyle w:val="58"/>
        <w:autoSpaceDE w:val="0"/>
        <w:autoSpaceDN w:val="0"/>
        <w:spacing w:before="156" w:after="156"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lang w:eastAsia="zh-CN"/>
        </w:rPr>
        <w:t>充电设施及设备制造</w:t>
      </w:r>
    </w:p>
    <w:p>
      <w:pPr>
        <w:autoSpaceDE w:val="0"/>
        <w:autoSpaceDN w:val="0"/>
        <w:ind w:firstLine="420" w:firstLineChars="200"/>
        <w:rPr>
          <w:szCs w:val="21"/>
        </w:rPr>
      </w:pPr>
      <w:r>
        <w:rPr>
          <w:rFonts w:hint="eastAsia"/>
          <w:szCs w:val="21"/>
          <w:lang w:eastAsia="zh-CN"/>
        </w:rPr>
        <w:t>充电设施及设备制造</w:t>
      </w:r>
      <w:r>
        <w:rPr>
          <w:rFonts w:hint="eastAsia"/>
          <w:szCs w:val="21"/>
        </w:rPr>
        <w:t>具体评价内容及评价方法</w:t>
      </w:r>
      <w:r>
        <w:rPr>
          <w:rFonts w:hint="eastAsia" w:ascii="宋体" w:hAnsi="宋体" w:cs="宋体"/>
          <w:szCs w:val="21"/>
        </w:rPr>
        <w:t>见表</w:t>
      </w:r>
      <w:r>
        <w:rPr>
          <w:rFonts w:hint="eastAsia" w:ascii="宋体" w:hAnsi="宋体" w:cs="宋体"/>
          <w:szCs w:val="21"/>
          <w:lang w:val="en-US" w:eastAsia="zh-CN"/>
        </w:rPr>
        <w:t>5</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充电设施及设备制造关键</w:t>
      </w:r>
      <w:r>
        <w:rPr>
          <w:rFonts w:eastAsia="黑体"/>
        </w:rPr>
        <w:t>技术先进性</w:t>
      </w:r>
      <w:r>
        <w:rPr>
          <w:rFonts w:hint="eastAsia" w:eastAsia="黑体"/>
        </w:rPr>
        <w:t>评价规则表</w:t>
      </w:r>
    </w:p>
    <w:tbl>
      <w:tblPr>
        <w:tblStyle w:val="35"/>
        <w:tblW w:w="8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727"/>
        <w:gridCol w:w="1410"/>
        <w:gridCol w:w="301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1"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727"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1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01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0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011" w:type="dxa"/>
            <w:vMerge w:val="restart"/>
            <w:vAlign w:val="center"/>
          </w:tcPr>
          <w:p>
            <w:pPr>
              <w:autoSpaceDE/>
              <w:autoSpaceDN/>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生产制造</w:t>
            </w:r>
          </w:p>
        </w:tc>
        <w:tc>
          <w:tcPr>
            <w:tcW w:w="1727" w:type="dxa"/>
            <w:vAlign w:val="center"/>
          </w:tcPr>
          <w:p>
            <w:pPr>
              <w:autoSpaceDE/>
              <w:autoSpaceDN/>
              <w:jc w:val="center"/>
              <w:rPr>
                <w:rFonts w:hint="eastAsia" w:ascii="宋体" w:hAnsi="宋体" w:cs="宋体"/>
                <w:b w:val="0"/>
                <w:bCs w:val="0"/>
                <w:sz w:val="18"/>
                <w:szCs w:val="18"/>
              </w:rPr>
            </w:pPr>
            <w:r>
              <w:rPr>
                <w:rFonts w:hint="eastAsia" w:ascii="宋体" w:hAnsi="宋体" w:cs="宋体"/>
                <w:b w:val="0"/>
                <w:bCs w:val="0"/>
                <w:sz w:val="18"/>
                <w:szCs w:val="18"/>
                <w:lang w:eastAsia="zh-CN"/>
              </w:rPr>
              <w:t>电动汽车非车载充电机</w:t>
            </w:r>
          </w:p>
        </w:tc>
        <w:tc>
          <w:tcPr>
            <w:tcW w:w="1410" w:type="dxa"/>
            <w:vAlign w:val="center"/>
          </w:tcPr>
          <w:p>
            <w:pPr>
              <w:autoSpaceDE/>
              <w:autoSpaceDN/>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充电机效率</w:t>
            </w:r>
          </w:p>
        </w:tc>
        <w:tc>
          <w:tcPr>
            <w:tcW w:w="3015" w:type="dxa"/>
          </w:tcPr>
          <w:p>
            <w:pPr>
              <w:autoSpaceDE/>
              <w:autoSpaceDN/>
              <w:jc w:val="left"/>
              <w:rPr>
                <w:rFonts w:hint="eastAsia" w:ascii="宋体" w:hAnsi="宋体" w:cs="宋体"/>
                <w:sz w:val="18"/>
                <w:szCs w:val="18"/>
                <w:lang w:eastAsia="zh-CN"/>
              </w:rPr>
            </w:pPr>
            <w:r>
              <w:rPr>
                <w:rFonts w:hint="eastAsia" w:ascii="宋体" w:hAnsi="宋体" w:cs="宋体"/>
                <w:sz w:val="18"/>
                <w:szCs w:val="18"/>
                <w:lang w:val="en-US" w:eastAsia="zh-CN"/>
              </w:rPr>
              <w:t>1.</w:t>
            </w:r>
            <w:r>
              <w:rPr>
                <w:rFonts w:hint="eastAsia" w:ascii="宋体" w:hAnsi="宋体" w:cs="宋体"/>
                <w:sz w:val="18"/>
                <w:szCs w:val="18"/>
              </w:rPr>
              <w:t>20%≤实际输出功率P</w:t>
            </w:r>
            <w:r>
              <w:rPr>
                <w:rFonts w:hint="eastAsia" w:ascii="宋体" w:hAnsi="宋体" w:cs="宋体"/>
                <w:sz w:val="18"/>
                <w:szCs w:val="18"/>
                <w:vertAlign w:val="subscript"/>
              </w:rPr>
              <w:t xml:space="preserve">O </w:t>
            </w:r>
            <w:r>
              <w:rPr>
                <w:rFonts w:hint="eastAsia" w:ascii="宋体" w:hAnsi="宋体" w:cs="宋体"/>
                <w:sz w:val="18"/>
                <w:szCs w:val="18"/>
              </w:rPr>
              <w:t>/额定输出功率P</w:t>
            </w:r>
            <w:r>
              <w:rPr>
                <w:rFonts w:hint="eastAsia" w:ascii="宋体" w:hAnsi="宋体" w:cs="宋体"/>
                <w:sz w:val="18"/>
                <w:szCs w:val="18"/>
                <w:vertAlign w:val="subscript"/>
              </w:rPr>
              <w:t>N</w:t>
            </w:r>
            <w:r>
              <w:rPr>
                <w:rFonts w:hint="eastAsia" w:ascii="宋体" w:hAnsi="宋体" w:cs="宋体"/>
                <w:sz w:val="18"/>
                <w:szCs w:val="18"/>
              </w:rPr>
              <w:t>≤50%</w:t>
            </w:r>
            <w:r>
              <w:rPr>
                <w:rFonts w:hint="eastAsia" w:ascii="宋体" w:hAnsi="宋体" w:cs="宋体"/>
                <w:sz w:val="18"/>
                <w:szCs w:val="18"/>
                <w:lang w:eastAsia="zh-CN"/>
              </w:rPr>
              <w:t>时，效率</w:t>
            </w:r>
            <w:r>
              <w:rPr>
                <w:rFonts w:hint="eastAsia" w:ascii="宋体" w:hAnsi="宋体" w:cs="宋体"/>
                <w:sz w:val="18"/>
                <w:szCs w:val="18"/>
              </w:rPr>
              <w:t>≥92%</w:t>
            </w:r>
            <w:r>
              <w:rPr>
                <w:rFonts w:hint="eastAsia" w:ascii="宋体" w:hAnsi="宋体" w:cs="宋体"/>
                <w:sz w:val="18"/>
                <w:szCs w:val="18"/>
                <w:lang w:eastAsia="zh-CN"/>
              </w:rPr>
              <w:t>。</w:t>
            </w:r>
          </w:p>
          <w:p>
            <w:pPr>
              <w:autoSpaceDE/>
              <w:autoSpaceDN/>
              <w:rPr>
                <w:rFonts w:hint="default"/>
                <w:lang w:val="en-US" w:eastAsia="zh-CN"/>
              </w:rPr>
            </w:pPr>
            <w:r>
              <w:rPr>
                <w:rFonts w:hint="eastAsia" w:ascii="宋体" w:hAnsi="宋体" w:cs="宋体"/>
                <w:sz w:val="18"/>
                <w:szCs w:val="18"/>
                <w:lang w:val="en-US" w:eastAsia="zh-CN"/>
              </w:rPr>
              <w:t>2.</w:t>
            </w:r>
            <w:r>
              <w:rPr>
                <w:rFonts w:hint="eastAsia" w:ascii="宋体" w:hAnsi="宋体" w:cs="宋体"/>
                <w:sz w:val="18"/>
                <w:szCs w:val="18"/>
              </w:rPr>
              <w:t>20%≤实际输出功率P</w:t>
            </w:r>
            <w:r>
              <w:rPr>
                <w:rFonts w:hint="eastAsia" w:ascii="宋体" w:hAnsi="宋体" w:cs="宋体"/>
                <w:sz w:val="18"/>
                <w:szCs w:val="18"/>
                <w:vertAlign w:val="subscript"/>
              </w:rPr>
              <w:t xml:space="preserve">O </w:t>
            </w:r>
            <w:r>
              <w:rPr>
                <w:rFonts w:hint="eastAsia" w:ascii="宋体" w:hAnsi="宋体" w:cs="宋体"/>
                <w:sz w:val="18"/>
                <w:szCs w:val="18"/>
              </w:rPr>
              <w:t>/额定输出功率P</w:t>
            </w:r>
            <w:r>
              <w:rPr>
                <w:rFonts w:hint="eastAsia" w:ascii="宋体" w:hAnsi="宋体" w:cs="宋体"/>
                <w:sz w:val="18"/>
                <w:szCs w:val="18"/>
                <w:vertAlign w:val="subscript"/>
              </w:rPr>
              <w:t>N</w:t>
            </w:r>
            <w:r>
              <w:rPr>
                <w:rFonts w:hint="eastAsia" w:ascii="宋体" w:hAnsi="宋体" w:cs="宋体"/>
                <w:sz w:val="18"/>
                <w:szCs w:val="18"/>
              </w:rPr>
              <w:t>≤50%</w:t>
            </w:r>
            <w:r>
              <w:rPr>
                <w:rFonts w:hint="eastAsia" w:ascii="宋体" w:hAnsi="宋体" w:cs="宋体"/>
                <w:sz w:val="18"/>
                <w:szCs w:val="18"/>
                <w:lang w:eastAsia="zh-CN"/>
              </w:rPr>
              <w:t>时，效率</w:t>
            </w:r>
            <w:r>
              <w:rPr>
                <w:rFonts w:hint="eastAsia" w:ascii="宋体" w:hAnsi="宋体" w:cs="宋体"/>
                <w:sz w:val="18"/>
                <w:szCs w:val="18"/>
              </w:rPr>
              <w:t>≥9</w:t>
            </w:r>
            <w:r>
              <w:rPr>
                <w:rFonts w:hint="eastAsia" w:ascii="宋体" w:hAnsi="宋体" w:cs="宋体"/>
                <w:sz w:val="18"/>
                <w:szCs w:val="18"/>
                <w:lang w:val="en-US" w:eastAsia="zh-CN"/>
              </w:rPr>
              <w:t>4.5</w:t>
            </w:r>
            <w:r>
              <w:rPr>
                <w:rFonts w:hint="eastAsia" w:ascii="宋体" w:hAnsi="宋体" w:cs="宋体"/>
                <w:sz w:val="18"/>
                <w:szCs w:val="18"/>
              </w:rPr>
              <w:t>%</w:t>
            </w:r>
            <w:r>
              <w:rPr>
                <w:rFonts w:hint="eastAsia" w:ascii="宋体" w:hAnsi="宋体" w:cs="宋体"/>
                <w:sz w:val="18"/>
                <w:szCs w:val="18"/>
                <w:lang w:eastAsia="zh-CN"/>
              </w:rPr>
              <w:t>。</w:t>
            </w:r>
          </w:p>
        </w:tc>
        <w:tc>
          <w:tcPr>
            <w:tcW w:w="1080" w:type="dxa"/>
            <w:vAlign w:val="center"/>
          </w:tcPr>
          <w:p>
            <w:pPr>
              <w:autoSpaceDE w:val="0"/>
              <w:autoSpaceDN w:val="0"/>
              <w:jc w:val="center"/>
              <w:rPr>
                <w:rFonts w:hint="default"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JJG 1149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011" w:type="dxa"/>
            <w:vMerge w:val="continue"/>
            <w:vAlign w:val="center"/>
          </w:tcPr>
          <w:p>
            <w:pPr>
              <w:autoSpaceDE/>
              <w:autoSpaceDN/>
              <w:jc w:val="center"/>
              <w:rPr>
                <w:rFonts w:hint="eastAsia" w:ascii="宋体" w:hAnsi="宋体" w:cs="宋体"/>
                <w:b w:val="0"/>
                <w:bCs w:val="0"/>
                <w:sz w:val="18"/>
                <w:szCs w:val="18"/>
                <w:lang w:eastAsia="zh-CN"/>
              </w:rPr>
            </w:pPr>
          </w:p>
        </w:tc>
        <w:tc>
          <w:tcPr>
            <w:tcW w:w="1727" w:type="dxa"/>
            <w:vAlign w:val="center"/>
          </w:tcPr>
          <w:p>
            <w:pPr>
              <w:autoSpaceDE/>
              <w:autoSpaceDN/>
              <w:jc w:val="center"/>
              <w:rPr>
                <w:rFonts w:hint="eastAsia" w:ascii="宋体" w:hAnsi="宋体" w:cs="宋体"/>
                <w:b w:val="0"/>
                <w:bCs w:val="0"/>
                <w:sz w:val="18"/>
                <w:szCs w:val="18"/>
                <w:lang w:eastAsia="zh-CN"/>
              </w:rPr>
            </w:pPr>
            <w:r>
              <w:rPr>
                <w:rFonts w:hint="eastAsia" w:ascii="宋体" w:hAnsi="宋体" w:cs="宋体"/>
                <w:b w:val="0"/>
                <w:bCs w:val="0"/>
                <w:sz w:val="18"/>
                <w:szCs w:val="18"/>
                <w:lang w:eastAsia="zh-CN"/>
              </w:rPr>
              <w:t>电动汽车非车载充电机</w:t>
            </w:r>
          </w:p>
        </w:tc>
        <w:tc>
          <w:tcPr>
            <w:tcW w:w="1410" w:type="dxa"/>
            <w:vAlign w:val="center"/>
          </w:tcPr>
          <w:p>
            <w:pPr>
              <w:autoSpaceDE/>
              <w:autoSpaceDN/>
              <w:jc w:val="center"/>
              <w:rPr>
                <w:rFonts w:hint="eastAsia" w:ascii="宋体" w:hAnsi="宋体" w:cs="宋体"/>
                <w:b w:val="0"/>
                <w:bCs w:val="0"/>
                <w:sz w:val="18"/>
                <w:szCs w:val="18"/>
                <w:lang w:eastAsia="zh-CN"/>
              </w:rPr>
            </w:pPr>
            <w:r>
              <w:rPr>
                <w:rFonts w:hint="eastAsia" w:ascii="宋体" w:hAnsi="宋体" w:cs="宋体"/>
                <w:b w:val="0"/>
                <w:bCs w:val="0"/>
                <w:sz w:val="18"/>
                <w:szCs w:val="18"/>
                <w:lang w:eastAsia="zh-CN"/>
              </w:rPr>
              <w:t>额定输出功率</w:t>
            </w:r>
          </w:p>
        </w:tc>
        <w:tc>
          <w:tcPr>
            <w:tcW w:w="3015" w:type="dxa"/>
            <w:vAlign w:val="center"/>
          </w:tcPr>
          <w:p>
            <w:pPr>
              <w:autoSpaceDE/>
              <w:autoSpaceDN/>
              <w:jc w:val="center"/>
              <w:rPr>
                <w:rFonts w:hint="eastAsia" w:ascii="宋体" w:hAnsi="宋体" w:cs="宋体"/>
                <w:sz w:val="18"/>
                <w:szCs w:val="18"/>
                <w:lang w:val="en-US" w:eastAsia="zh-CN"/>
              </w:rPr>
            </w:pPr>
            <w:r>
              <w:rPr>
                <w:rFonts w:hint="eastAsia" w:ascii="宋体" w:hAnsi="宋体" w:cs="宋体"/>
                <w:sz w:val="18"/>
                <w:szCs w:val="18"/>
                <w:lang w:eastAsia="zh-CN"/>
              </w:rPr>
              <w:t>额定</w:t>
            </w:r>
            <w:r>
              <w:rPr>
                <w:rFonts w:hint="eastAsia" w:ascii="宋体" w:hAnsi="宋体" w:cs="宋体"/>
                <w:sz w:val="18"/>
                <w:szCs w:val="18"/>
              </w:rPr>
              <w:t>输出功率≥240kVA</w:t>
            </w:r>
          </w:p>
        </w:tc>
        <w:tc>
          <w:tcPr>
            <w:tcW w:w="1080" w:type="dxa"/>
            <w:vAlign w:val="center"/>
          </w:tcPr>
          <w:p>
            <w:pPr>
              <w:autoSpaceDE w:val="0"/>
              <w:autoSpaceDN w:val="0"/>
              <w:jc w:val="center"/>
              <w:rPr>
                <w:rFonts w:hint="eastAsia" w:ascii="宋体" w:hAnsi="宋体" w:cs="宋体"/>
                <w:b w:val="0"/>
                <w:bCs w:val="0"/>
                <w:sz w:val="18"/>
                <w:szCs w:val="18"/>
              </w:rPr>
            </w:pPr>
            <w:r>
              <w:rPr>
                <w:rFonts w:hint="eastAsia" w:ascii="宋体" w:hAnsi="宋体" w:cs="宋体"/>
                <w:b w:val="0"/>
                <w:bCs w:val="0"/>
                <w:sz w:val="18"/>
                <w:szCs w:val="18"/>
                <w:lang w:val="en-US" w:eastAsia="zh-CN"/>
              </w:rPr>
              <w:t>/</w:t>
            </w:r>
          </w:p>
        </w:tc>
      </w:tr>
    </w:tbl>
    <w:p>
      <w:pPr>
        <w:pStyle w:val="58"/>
        <w:autoSpaceDE w:val="0"/>
        <w:autoSpaceDN w:val="0"/>
        <w:spacing w:before="156" w:after="156" w:line="480" w:lineRule="auto"/>
        <w:ind w:firstLine="420" w:firstLineChars="200"/>
        <w:rPr>
          <w:rFonts w:ascii="黑体" w:hAnsi="黑体" w:eastAsia="黑体" w:cs="黑体"/>
          <w:szCs w:val="21"/>
        </w:rPr>
      </w:pPr>
      <w:r>
        <w:rPr>
          <w:rFonts w:hint="eastAsia" w:ascii="黑体" w:hAnsi="黑体" w:eastAsia="黑体" w:cs="黑体"/>
          <w:szCs w:val="21"/>
          <w:lang w:eastAsia="zh-CN"/>
        </w:rPr>
        <w:t>换电设施及设备制造</w:t>
      </w:r>
    </w:p>
    <w:p>
      <w:pPr>
        <w:autoSpaceDE w:val="0"/>
        <w:autoSpaceDN w:val="0"/>
        <w:ind w:firstLine="420" w:firstLineChars="200"/>
        <w:rPr>
          <w:szCs w:val="21"/>
        </w:rPr>
      </w:pPr>
      <w:r>
        <w:rPr>
          <w:rFonts w:hint="eastAsia"/>
          <w:szCs w:val="21"/>
          <w:lang w:eastAsia="zh-CN"/>
        </w:rPr>
        <w:t>换电设施及设备制造</w:t>
      </w:r>
      <w:r>
        <w:rPr>
          <w:szCs w:val="21"/>
        </w:rPr>
        <w:t>具体</w:t>
      </w:r>
      <w:r>
        <w:rPr>
          <w:rFonts w:hint="eastAsia"/>
          <w:szCs w:val="21"/>
        </w:rPr>
        <w:t>评价内容及评价方法见</w:t>
      </w:r>
      <w:r>
        <w:rPr>
          <w:rFonts w:hint="eastAsia" w:ascii="宋体" w:hAnsi="宋体" w:cs="宋体"/>
          <w:szCs w:val="21"/>
        </w:rPr>
        <w:t>表</w:t>
      </w:r>
      <w:r>
        <w:rPr>
          <w:rFonts w:hint="eastAsia" w:ascii="宋体" w:hAnsi="宋体" w:cs="宋体"/>
          <w:szCs w:val="21"/>
          <w:lang w:val="en-US" w:eastAsia="zh-CN"/>
        </w:rPr>
        <w:t>6</w:t>
      </w:r>
      <w:r>
        <w:rPr>
          <w:rFonts w:hint="eastAsia"/>
          <w:szCs w:val="21"/>
        </w:rPr>
        <w:t>。</w:t>
      </w:r>
    </w:p>
    <w:p>
      <w:pPr>
        <w:numPr>
          <w:ilvl w:val="0"/>
          <w:numId w:val="17"/>
        </w:numPr>
        <w:spacing w:before="156" w:beforeLines="50" w:after="156" w:afterLines="50"/>
        <w:jc w:val="center"/>
        <w:rPr>
          <w:szCs w:val="21"/>
        </w:rPr>
      </w:pPr>
      <w:r>
        <w:rPr>
          <w:rFonts w:hint="eastAsia" w:ascii="黑体" w:hAnsi="黑体" w:eastAsia="黑体" w:cs="黑体"/>
          <w:szCs w:val="21"/>
          <w:lang w:eastAsia="zh-CN"/>
        </w:rPr>
        <w:t>换电设施及设备制造</w:t>
      </w:r>
      <w:r>
        <w:rPr>
          <w:rFonts w:hint="eastAsia" w:eastAsia="黑体"/>
        </w:rPr>
        <w:t>关键</w:t>
      </w:r>
      <w:r>
        <w:rPr>
          <w:rFonts w:eastAsia="黑体"/>
        </w:rPr>
        <w:t>技术先进性</w:t>
      </w:r>
      <w:r>
        <w:rPr>
          <w:rFonts w:hint="eastAsia" w:eastAsia="黑体"/>
        </w:rPr>
        <w:t>评价规则表</w:t>
      </w:r>
    </w:p>
    <w:tbl>
      <w:tblPr>
        <w:tblStyle w:val="35"/>
        <w:tblW w:w="8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1050"/>
        <w:gridCol w:w="1322"/>
        <w:gridCol w:w="3940"/>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05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22"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94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30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生产制造</w:t>
            </w:r>
          </w:p>
        </w:tc>
        <w:tc>
          <w:tcPr>
            <w:tcW w:w="1050"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换电设备及设施制造</w:t>
            </w:r>
          </w:p>
        </w:tc>
        <w:tc>
          <w:tcPr>
            <w:tcW w:w="1322" w:type="dxa"/>
            <w:vAlign w:val="center"/>
          </w:tcPr>
          <w:p>
            <w:pPr>
              <w:autoSpaceDE/>
              <w:autoSpaceDN/>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换电效率、设备性能</w:t>
            </w:r>
          </w:p>
        </w:tc>
        <w:tc>
          <w:tcPr>
            <w:tcW w:w="3940" w:type="dxa"/>
            <w:vAlign w:val="center"/>
          </w:tcPr>
          <w:p>
            <w:pPr>
              <w:autoSpaceDE/>
              <w:autoSpaceDN/>
              <w:jc w:val="both"/>
              <w:rPr>
                <w:rFonts w:hint="eastAsia" w:ascii="宋体" w:hAnsi="宋体" w:eastAsia="宋体" w:cs="宋体"/>
                <w:b w:val="0"/>
                <w:bCs w:val="0"/>
                <w:sz w:val="18"/>
                <w:szCs w:val="18"/>
                <w:lang w:eastAsia="zh-CN"/>
              </w:rPr>
            </w:pPr>
            <w:r>
              <w:rPr>
                <w:rFonts w:hint="eastAsia" w:ascii="宋体" w:hAnsi="宋体" w:eastAsia="宋体" w:cs="宋体"/>
                <w:kern w:val="0"/>
                <w:sz w:val="18"/>
                <w:szCs w:val="18"/>
                <w:highlight w:val="none"/>
                <w:lang w:val="en-US" w:eastAsia="zh-CN" w:bidi="ar-SA"/>
              </w:rPr>
              <w:t>列出国家标准生产值，</w:t>
            </w:r>
            <w:r>
              <w:rPr>
                <w:rFonts w:hint="eastAsia" w:ascii="宋体" w:hAnsi="宋体" w:cs="宋体"/>
                <w:sz w:val="18"/>
                <w:szCs w:val="18"/>
                <w:lang w:val="en-US" w:eastAsia="zh-CN"/>
              </w:rPr>
              <w:t>至少提供1个案例，</w:t>
            </w:r>
            <w:r>
              <w:rPr>
                <w:rFonts w:hint="eastAsia" w:ascii="宋体" w:hAnsi="宋体" w:eastAsia="宋体" w:cs="宋体"/>
                <w:kern w:val="0"/>
                <w:sz w:val="18"/>
                <w:szCs w:val="18"/>
                <w:highlight w:val="none"/>
                <w:lang w:val="en-US" w:eastAsia="zh-CN" w:bidi="ar-SA"/>
              </w:rPr>
              <w:t>并</w:t>
            </w:r>
            <w:r>
              <w:rPr>
                <w:rFonts w:hint="eastAsia" w:ascii="宋体" w:hAnsi="宋体" w:cs="宋体"/>
                <w:kern w:val="0"/>
                <w:sz w:val="18"/>
                <w:szCs w:val="18"/>
                <w:highlight w:val="none"/>
                <w:lang w:val="en-US" w:eastAsia="zh-CN" w:bidi="ar-SA"/>
              </w:rPr>
              <w:t>围绕换电设备及设施制造的换电效率及优异性能等方面出具书面说明，专家根据说明给予打分评价。</w:t>
            </w:r>
          </w:p>
        </w:tc>
        <w:tc>
          <w:tcPr>
            <w:tcW w:w="1300" w:type="dxa"/>
            <w:vAlign w:val="center"/>
          </w:tcPr>
          <w:p>
            <w:pPr>
              <w:autoSpaceDE w:val="0"/>
              <w:autoSpaceDN w:val="0"/>
              <w:jc w:val="center"/>
              <w:rPr>
                <w:rFonts w:hint="eastAsia" w:ascii="宋体" w:hAnsi="宋体" w:eastAsia="宋体" w:cs="宋体"/>
                <w:b/>
                <w:bCs/>
                <w:sz w:val="18"/>
                <w:szCs w:val="18"/>
                <w:lang w:val="en-US" w:eastAsia="zh-CN"/>
              </w:rPr>
            </w:pPr>
            <w:r>
              <w:rPr>
                <w:rFonts w:hint="eastAsia" w:ascii="宋体" w:hAnsi="宋体" w:cs="宋体"/>
                <w:b/>
                <w:bCs/>
                <w:sz w:val="18"/>
                <w:szCs w:val="18"/>
                <w:lang w:val="en-US" w:eastAsia="zh-CN"/>
              </w:rPr>
              <w:t>/</w:t>
            </w:r>
          </w:p>
        </w:tc>
      </w:tr>
    </w:tbl>
    <w:p>
      <w:pPr>
        <w:pStyle w:val="58"/>
        <w:autoSpaceDE w:val="0"/>
        <w:autoSpaceDN w:val="0"/>
        <w:spacing w:before="156" w:after="156" w:line="480" w:lineRule="auto"/>
        <w:ind w:firstLine="420" w:firstLineChars="200"/>
        <w:rPr>
          <w:rFonts w:hint="eastAsia" w:ascii="黑体" w:hAnsi="黑体" w:eastAsia="黑体" w:cs="黑体"/>
          <w:szCs w:val="21"/>
          <w:lang w:eastAsia="zh-CN"/>
        </w:rPr>
      </w:pPr>
      <w:r>
        <w:rPr>
          <w:rFonts w:hint="eastAsia" w:hAnsi="黑体" w:cs="黑体"/>
          <w:szCs w:val="21"/>
          <w:lang w:eastAsia="zh-CN"/>
        </w:rPr>
        <w:t>充换电设施</w:t>
      </w:r>
      <w:r>
        <w:rPr>
          <w:rFonts w:hint="eastAsia" w:ascii="黑体" w:hAnsi="黑体" w:eastAsia="黑体" w:cs="黑体"/>
          <w:szCs w:val="21"/>
          <w:lang w:eastAsia="zh-CN"/>
        </w:rPr>
        <w:t>运营</w:t>
      </w:r>
    </w:p>
    <w:p>
      <w:pPr>
        <w:autoSpaceDE w:val="0"/>
        <w:autoSpaceDN w:val="0"/>
        <w:ind w:firstLine="420" w:firstLineChars="200"/>
        <w:rPr>
          <w:rFonts w:hint="eastAsia"/>
          <w:szCs w:val="21"/>
        </w:rPr>
      </w:pPr>
      <w:r>
        <w:rPr>
          <w:rFonts w:hint="eastAsia"/>
          <w:szCs w:val="21"/>
          <w:lang w:eastAsia="zh-CN"/>
        </w:rPr>
        <w:t>充换电设施运营</w:t>
      </w:r>
      <w:r>
        <w:rPr>
          <w:rFonts w:hint="eastAsia"/>
          <w:szCs w:val="21"/>
        </w:rPr>
        <w:t>具体评价内容及评价方法见</w:t>
      </w:r>
      <w:r>
        <w:rPr>
          <w:rFonts w:hint="eastAsia" w:ascii="宋体" w:hAnsi="宋体" w:cs="宋体"/>
          <w:szCs w:val="21"/>
        </w:rPr>
        <w:t>表</w:t>
      </w:r>
      <w:r>
        <w:rPr>
          <w:rFonts w:hint="eastAsia" w:ascii="宋体" w:hAnsi="宋体" w:cs="宋体"/>
          <w:szCs w:val="21"/>
          <w:lang w:val="en-US" w:eastAsia="zh-CN"/>
        </w:rPr>
        <w:t>7</w:t>
      </w:r>
      <w:r>
        <w:rPr>
          <w:rFonts w:hint="eastAsia"/>
          <w:szCs w:val="21"/>
        </w:rPr>
        <w:t>。</w:t>
      </w:r>
    </w:p>
    <w:p>
      <w:pPr>
        <w:numPr>
          <w:ilvl w:val="0"/>
          <w:numId w:val="17"/>
        </w:numPr>
        <w:spacing w:before="156" w:beforeLines="50" w:after="156" w:afterLines="50"/>
        <w:jc w:val="center"/>
        <w:rPr>
          <w:rFonts w:hint="eastAsia"/>
        </w:rPr>
      </w:pPr>
      <w:r>
        <w:rPr>
          <w:rFonts w:hint="eastAsia" w:eastAsia="黑体"/>
        </w:rPr>
        <w:t>充换电设施运营关键</w:t>
      </w:r>
      <w:r>
        <w:rPr>
          <w:rFonts w:eastAsia="黑体"/>
        </w:rPr>
        <w:t>技术先进性</w:t>
      </w:r>
      <w:r>
        <w:rPr>
          <w:rFonts w:hint="eastAsia" w:eastAsia="黑体"/>
        </w:rPr>
        <w:t>评价规则表</w:t>
      </w:r>
    </w:p>
    <w:tbl>
      <w:tblPr>
        <w:tblStyle w:val="34"/>
        <w:tblW w:w="98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6"/>
        <w:gridCol w:w="950"/>
        <w:gridCol w:w="1334"/>
        <w:gridCol w:w="3219"/>
        <w:gridCol w:w="2347"/>
        <w:gridCol w:w="1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95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34"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219"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2347" w:type="dxa"/>
          </w:tcPr>
          <w:p>
            <w:pPr>
              <w:autoSpaceDE w:val="0"/>
              <w:autoSpaceDN w:val="0"/>
              <w:jc w:val="center"/>
              <w:rPr>
                <w:rFonts w:hint="eastAsia" w:ascii="宋体" w:hAnsi="宋体" w:eastAsia="宋体" w:cs="宋体"/>
                <w:b/>
                <w:bCs/>
                <w:sz w:val="18"/>
                <w:szCs w:val="18"/>
                <w:lang w:eastAsia="zh-CN"/>
              </w:rPr>
            </w:pPr>
            <w:r>
              <w:rPr>
                <w:rFonts w:hint="eastAsia" w:ascii="宋体" w:hAnsi="宋体" w:cs="宋体"/>
                <w:b/>
                <w:bCs/>
                <w:sz w:val="18"/>
                <w:szCs w:val="18"/>
                <w:lang w:eastAsia="zh-CN"/>
              </w:rPr>
              <w:t>加分项</w:t>
            </w:r>
          </w:p>
        </w:tc>
        <w:tc>
          <w:tcPr>
            <w:tcW w:w="1036" w:type="dxa"/>
          </w:tcPr>
          <w:p>
            <w:pPr>
              <w:autoSpaceDE w:val="0"/>
              <w:autoSpaceDN w:val="0"/>
              <w:jc w:val="center"/>
              <w:rPr>
                <w:rFonts w:hint="eastAsia" w:ascii="宋体" w:hAnsi="宋体" w:cs="宋体"/>
                <w:b/>
                <w:bCs/>
                <w:sz w:val="18"/>
                <w:szCs w:val="18"/>
                <w:lang w:eastAsia="zh-CN"/>
              </w:rPr>
            </w:pPr>
            <w:r>
              <w:rPr>
                <w:rFonts w:hint="eastAsia" w:ascii="宋体" w:hAnsi="宋体" w:cs="宋体"/>
                <w:b/>
                <w:bCs/>
                <w:sz w:val="18"/>
                <w:szCs w:val="18"/>
                <w:lang w:eastAsia="zh-CN"/>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46"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建设运营</w:t>
            </w:r>
          </w:p>
        </w:tc>
        <w:tc>
          <w:tcPr>
            <w:tcW w:w="950"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充电站</w:t>
            </w:r>
          </w:p>
        </w:tc>
        <w:tc>
          <w:tcPr>
            <w:tcW w:w="1334"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上线率</w:t>
            </w:r>
          </w:p>
        </w:tc>
        <w:tc>
          <w:tcPr>
            <w:tcW w:w="3219" w:type="dxa"/>
            <w:vAlign w:val="center"/>
          </w:tcPr>
          <w:p>
            <w:pPr>
              <w:autoSpaceDE w:val="0"/>
              <w:autoSpaceDN w:val="0"/>
              <w:jc w:val="left"/>
              <w:rPr>
                <w:rFonts w:hint="default" w:ascii="宋体" w:hAnsi="宋体" w:cs="宋体"/>
                <w:b w:val="0"/>
                <w:bCs w:val="0"/>
                <w:sz w:val="18"/>
                <w:szCs w:val="18"/>
              </w:rPr>
            </w:pPr>
            <w:r>
              <w:rPr>
                <w:rFonts w:hint="eastAsia" w:ascii="宋体" w:hAnsi="宋体" w:cs="宋体"/>
                <w:b w:val="0"/>
                <w:bCs w:val="0"/>
                <w:sz w:val="18"/>
                <w:szCs w:val="18"/>
                <w:lang w:eastAsia="zh-CN"/>
              </w:rPr>
              <w:t>各站点充电设施上线率≥</w:t>
            </w:r>
            <w:r>
              <w:rPr>
                <w:rFonts w:hint="eastAsia" w:ascii="宋体" w:hAnsi="宋体" w:cs="宋体"/>
                <w:b w:val="0"/>
                <w:bCs w:val="0"/>
                <w:sz w:val="18"/>
                <w:szCs w:val="18"/>
                <w:lang w:val="en-US" w:eastAsia="zh-CN"/>
              </w:rPr>
              <w:t>90%。</w:t>
            </w:r>
          </w:p>
        </w:tc>
        <w:tc>
          <w:tcPr>
            <w:tcW w:w="2347" w:type="dxa"/>
            <w:vMerge w:val="restart"/>
          </w:tcPr>
          <w:p>
            <w:pPr>
              <w:numPr>
                <w:ilvl w:val="-1"/>
                <w:numId w:val="0"/>
              </w:numPr>
              <w:autoSpaceDE/>
              <w:autoSpaceDN/>
              <w:jc w:val="both"/>
              <w:rPr>
                <w:rFonts w:hint="eastAsia" w:ascii="宋体" w:hAnsi="宋体" w:cs="宋体"/>
                <w:kern w:val="0"/>
                <w:sz w:val="18"/>
                <w:szCs w:val="18"/>
                <w:highlight w:val="none"/>
                <w:lang w:eastAsia="zh-CN"/>
              </w:rPr>
            </w:pPr>
            <w:r>
              <w:rPr>
                <w:rFonts w:hint="eastAsia" w:ascii="宋体" w:hAnsi="宋体" w:cs="宋体"/>
                <w:kern w:val="0"/>
                <w:sz w:val="18"/>
                <w:szCs w:val="18"/>
                <w:highlight w:val="none"/>
                <w:lang w:val="en-US" w:eastAsia="zh-CN"/>
              </w:rPr>
              <w:t>1、</w:t>
            </w:r>
            <w:r>
              <w:rPr>
                <w:rFonts w:hint="eastAsia" w:ascii="宋体" w:hAnsi="宋体" w:cs="宋体"/>
                <w:kern w:val="0"/>
                <w:sz w:val="18"/>
                <w:szCs w:val="18"/>
                <w:highlight w:val="none"/>
              </w:rPr>
              <w:t>充电设施具备能量监控功能。充电设施能监控充电设施的输入、输出电能量</w:t>
            </w:r>
            <w:r>
              <w:rPr>
                <w:rFonts w:hint="eastAsia" w:ascii="宋体" w:hAnsi="宋体" w:cs="宋体"/>
                <w:kern w:val="0"/>
                <w:sz w:val="18"/>
                <w:szCs w:val="18"/>
                <w:highlight w:val="none"/>
                <w:lang w:eastAsia="zh-CN"/>
              </w:rPr>
              <w:t>。</w:t>
            </w:r>
          </w:p>
          <w:p>
            <w:pPr>
              <w:autoSpaceDE/>
              <w:autoSpaceDN/>
              <w:jc w:val="both"/>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2、充电设施具备有序充电功能。</w:t>
            </w:r>
          </w:p>
          <w:p>
            <w:pPr>
              <w:autoSpaceDE/>
              <w:autoSpaceDN/>
              <w:jc w:val="both"/>
              <w:rPr>
                <w:rFonts w:hint="eastAsia" w:ascii="宋体" w:hAnsi="宋体" w:cs="宋体"/>
                <w:kern w:val="0"/>
                <w:sz w:val="18"/>
                <w:szCs w:val="18"/>
                <w:highlight w:val="none"/>
              </w:rPr>
            </w:pPr>
            <w:r>
              <w:rPr>
                <w:rFonts w:hint="eastAsia" w:ascii="宋体" w:hAnsi="宋体" w:cs="宋体"/>
                <w:kern w:val="0"/>
                <w:sz w:val="18"/>
                <w:szCs w:val="18"/>
                <w:highlight w:val="none"/>
                <w:lang w:val="en-US" w:eastAsia="zh-CN"/>
              </w:rPr>
              <w:t>3、充换电站建有光储充一体化设施。</w:t>
            </w:r>
          </w:p>
        </w:tc>
        <w:tc>
          <w:tcPr>
            <w:tcW w:w="1036" w:type="dxa"/>
            <w:vMerge w:val="restart"/>
          </w:tcPr>
          <w:p>
            <w:pPr>
              <w:autoSpaceDE/>
              <w:autoSpaceDN/>
              <w:ind w:firstLine="383"/>
              <w:jc w:val="left"/>
              <w:rPr>
                <w:rFonts w:hint="eastAsia"/>
                <w:lang w:val="en-US" w:eastAsia="zh-CN"/>
              </w:rPr>
            </w:pPr>
          </w:p>
          <w:p>
            <w:pPr>
              <w:ind w:firstLine="383"/>
              <w:jc w:val="left"/>
              <w:rPr>
                <w:rFonts w:hint="eastAsia"/>
                <w:lang w:val="en-US" w:eastAsia="zh-CN"/>
              </w:rPr>
            </w:pPr>
          </w:p>
          <w:p>
            <w:pPr>
              <w:ind w:firstLine="383"/>
              <w:jc w:val="left"/>
              <w:rPr>
                <w:rFonts w:hint="eastAsia"/>
                <w:lang w:val="en-US" w:eastAsia="zh-CN"/>
              </w:rPr>
            </w:pPr>
          </w:p>
          <w:p>
            <w:pPr>
              <w:ind w:firstLine="383"/>
              <w:jc w:val="left"/>
              <w:rPr>
                <w:rFonts w:hint="default"/>
                <w:lang w:val="en-US" w:eastAsia="zh-CN"/>
              </w:rPr>
            </w:pPr>
            <w:r>
              <w:rPr>
                <w:rFonts w:hint="eastAsia"/>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jc w:val="center"/>
        </w:trPr>
        <w:tc>
          <w:tcPr>
            <w:tcW w:w="946" w:type="dxa"/>
            <w:vMerge w:val="continue"/>
            <w:vAlign w:val="center"/>
          </w:tcPr>
          <w:p>
            <w:pPr>
              <w:autoSpaceDE w:val="0"/>
              <w:autoSpaceDN w:val="0"/>
              <w:jc w:val="center"/>
              <w:rPr>
                <w:rFonts w:hint="eastAsia" w:ascii="宋体" w:hAnsi="宋体" w:cs="宋体"/>
                <w:b w:val="0"/>
                <w:bCs w:val="0"/>
                <w:sz w:val="18"/>
                <w:szCs w:val="18"/>
              </w:rPr>
            </w:pPr>
          </w:p>
        </w:tc>
        <w:tc>
          <w:tcPr>
            <w:tcW w:w="950" w:type="dxa"/>
            <w:vMerge w:val="continue"/>
            <w:vAlign w:val="center"/>
          </w:tcPr>
          <w:p>
            <w:pPr>
              <w:autoSpaceDE w:val="0"/>
              <w:autoSpaceDN w:val="0"/>
              <w:jc w:val="center"/>
              <w:rPr>
                <w:rFonts w:hint="eastAsia" w:ascii="宋体" w:hAnsi="宋体" w:cs="宋体"/>
                <w:b w:val="0"/>
                <w:bCs w:val="0"/>
                <w:sz w:val="18"/>
                <w:szCs w:val="18"/>
              </w:rPr>
            </w:pPr>
          </w:p>
        </w:tc>
        <w:tc>
          <w:tcPr>
            <w:tcW w:w="1334"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日均功率利用率</w:t>
            </w:r>
          </w:p>
        </w:tc>
        <w:tc>
          <w:tcPr>
            <w:tcW w:w="3219" w:type="dxa"/>
            <w:vAlign w:val="center"/>
          </w:tcPr>
          <w:p>
            <w:pPr>
              <w:autoSpaceDE w:val="0"/>
              <w:autoSpaceDN w:val="0"/>
              <w:jc w:val="left"/>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交流充电站：日均功率利用率≥</w:t>
            </w:r>
            <w:r>
              <w:rPr>
                <w:rFonts w:hint="eastAsia" w:ascii="宋体" w:hAnsi="宋体" w:cs="宋体"/>
                <w:b w:val="0"/>
                <w:bCs w:val="0"/>
                <w:sz w:val="18"/>
                <w:szCs w:val="18"/>
                <w:lang w:val="en-US" w:eastAsia="zh-CN"/>
              </w:rPr>
              <w:t>7</w:t>
            </w:r>
            <w:r>
              <w:rPr>
                <w:rFonts w:hint="eastAsia" w:ascii="宋体" w:hAnsi="宋体" w:cs="宋体"/>
                <w:b w:val="0"/>
                <w:bCs w:val="0"/>
                <w:sz w:val="18"/>
                <w:szCs w:val="18"/>
              </w:rPr>
              <w:t>%</w:t>
            </w:r>
            <w:r>
              <w:rPr>
                <w:rFonts w:hint="eastAsia" w:ascii="宋体" w:hAnsi="宋体" w:cs="宋体"/>
                <w:b w:val="0"/>
                <w:bCs w:val="0"/>
                <w:sz w:val="18"/>
                <w:szCs w:val="18"/>
                <w:lang w:eastAsia="zh-CN"/>
              </w:rPr>
              <w:t>。</w:t>
            </w:r>
          </w:p>
          <w:p>
            <w:pPr>
              <w:jc w:val="left"/>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直流充电站：日均功率利用率≥</w:t>
            </w:r>
            <w:r>
              <w:rPr>
                <w:rFonts w:hint="eastAsia" w:ascii="宋体" w:hAnsi="宋体" w:cs="宋体"/>
                <w:b w:val="0"/>
                <w:bCs w:val="0"/>
                <w:sz w:val="18"/>
                <w:szCs w:val="18"/>
                <w:lang w:val="en-US" w:eastAsia="zh-CN"/>
              </w:rPr>
              <w:t>12</w:t>
            </w:r>
            <w:r>
              <w:rPr>
                <w:rFonts w:hint="eastAsia" w:ascii="宋体" w:hAnsi="宋体" w:cs="宋体"/>
                <w:b w:val="0"/>
                <w:bCs w:val="0"/>
                <w:sz w:val="18"/>
                <w:szCs w:val="18"/>
              </w:rPr>
              <w:t>%</w:t>
            </w:r>
            <w:r>
              <w:rPr>
                <w:rFonts w:hint="eastAsia" w:ascii="宋体" w:hAnsi="宋体" w:cs="宋体"/>
                <w:b w:val="0"/>
                <w:bCs w:val="0"/>
                <w:sz w:val="18"/>
                <w:szCs w:val="18"/>
                <w:lang w:eastAsia="zh-CN"/>
              </w:rPr>
              <w:t>。</w:t>
            </w:r>
          </w:p>
        </w:tc>
        <w:tc>
          <w:tcPr>
            <w:tcW w:w="2347" w:type="dxa"/>
            <w:vMerge w:val="continue"/>
          </w:tcPr>
          <w:p>
            <w:pPr>
              <w:autoSpaceDE w:val="0"/>
              <w:autoSpaceDN w:val="0"/>
              <w:jc w:val="center"/>
              <w:rPr>
                <w:rFonts w:hint="eastAsia" w:ascii="宋体" w:hAnsi="宋体" w:cs="宋体"/>
                <w:b/>
                <w:bCs/>
                <w:sz w:val="18"/>
                <w:szCs w:val="18"/>
              </w:rPr>
            </w:pPr>
          </w:p>
        </w:tc>
        <w:tc>
          <w:tcPr>
            <w:tcW w:w="1036" w:type="dxa"/>
            <w:vMerge w:val="continue"/>
          </w:tcPr>
          <w:p>
            <w:pPr>
              <w:autoSpaceDE/>
              <w:autoSpaceDN/>
              <w:ind w:firstLine="383"/>
              <w:jc w:val="left"/>
              <w:rPr>
                <w:rFonts w:hint="eastAsia" w:ascii="Times New Roman" w:hAnsi="Times New Roman" w:cs="Times New Roman"/>
                <w:b w:val="0"/>
                <w:bCs w:val="0"/>
                <w:sz w:val="21"/>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6" w:type="dxa"/>
            <w:vMerge w:val="continue"/>
            <w:vAlign w:val="center"/>
          </w:tcPr>
          <w:p>
            <w:pPr>
              <w:autoSpaceDE w:val="0"/>
              <w:autoSpaceDN w:val="0"/>
              <w:jc w:val="center"/>
              <w:rPr>
                <w:rFonts w:hint="eastAsia" w:ascii="宋体" w:hAnsi="宋体" w:cs="宋体"/>
                <w:b w:val="0"/>
                <w:bCs w:val="0"/>
                <w:sz w:val="18"/>
                <w:szCs w:val="18"/>
              </w:rPr>
            </w:pPr>
          </w:p>
        </w:tc>
        <w:tc>
          <w:tcPr>
            <w:tcW w:w="950"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换电站</w:t>
            </w:r>
          </w:p>
        </w:tc>
        <w:tc>
          <w:tcPr>
            <w:tcW w:w="1334" w:type="dxa"/>
            <w:vAlign w:val="center"/>
          </w:tcPr>
          <w:p>
            <w:pPr>
              <w:autoSpaceDE w:val="0"/>
              <w:autoSpaceDN w:val="0"/>
              <w:jc w:val="center"/>
              <w:rPr>
                <w:rFonts w:hint="eastAsia" w:ascii="宋体" w:hAnsi="宋体" w:cs="宋体"/>
                <w:b w:val="0"/>
                <w:bCs w:val="0"/>
                <w:sz w:val="18"/>
                <w:szCs w:val="18"/>
                <w:lang w:eastAsia="zh-CN"/>
              </w:rPr>
            </w:pPr>
            <w:r>
              <w:rPr>
                <w:rFonts w:hint="eastAsia" w:ascii="宋体" w:hAnsi="宋体" w:cs="宋体"/>
                <w:b w:val="0"/>
                <w:bCs w:val="0"/>
                <w:sz w:val="18"/>
                <w:szCs w:val="18"/>
                <w:lang w:eastAsia="zh-CN"/>
              </w:rPr>
              <w:t>换电速度</w:t>
            </w:r>
          </w:p>
        </w:tc>
        <w:tc>
          <w:tcPr>
            <w:tcW w:w="3219" w:type="dxa"/>
            <w:vAlign w:val="center"/>
          </w:tcPr>
          <w:p>
            <w:pPr>
              <w:jc w:val="left"/>
              <w:rPr>
                <w:rFonts w:hint="eastAsia" w:ascii="宋体" w:hAnsi="宋体" w:cs="宋体"/>
                <w:sz w:val="18"/>
                <w:szCs w:val="18"/>
                <w:lang w:val="en-US" w:eastAsia="zh-CN"/>
              </w:rPr>
            </w:pPr>
            <w:r>
              <w:rPr>
                <w:rFonts w:hint="eastAsia" w:ascii="宋体" w:hAnsi="宋体" w:cs="宋体"/>
                <w:sz w:val="18"/>
                <w:szCs w:val="18"/>
                <w:lang w:eastAsia="zh-CN"/>
              </w:rPr>
              <w:t>乘用车电池箱更换时间不易大于</w:t>
            </w:r>
            <w:r>
              <w:rPr>
                <w:rFonts w:hint="eastAsia" w:ascii="宋体" w:hAnsi="宋体" w:cs="宋体"/>
                <w:sz w:val="18"/>
                <w:szCs w:val="18"/>
                <w:lang w:val="en-US" w:eastAsia="zh-CN"/>
              </w:rPr>
              <w:t>300s；</w:t>
            </w:r>
          </w:p>
          <w:p>
            <w:pPr>
              <w:jc w:val="left"/>
              <w:rPr>
                <w:rFonts w:hint="eastAsia" w:ascii="宋体" w:hAnsi="宋体" w:cs="宋体"/>
                <w:sz w:val="18"/>
                <w:szCs w:val="18"/>
                <w:lang w:val="en-US" w:eastAsia="zh-CN"/>
              </w:rPr>
            </w:pPr>
            <w:r>
              <w:rPr>
                <w:rFonts w:hint="eastAsia" w:ascii="宋体" w:hAnsi="宋体" w:cs="宋体"/>
                <w:sz w:val="18"/>
                <w:szCs w:val="18"/>
                <w:lang w:val="en-US" w:eastAsia="zh-CN"/>
              </w:rPr>
              <w:t>商用车电池更换时间不宜大于600s。</w:t>
            </w:r>
          </w:p>
        </w:tc>
        <w:tc>
          <w:tcPr>
            <w:tcW w:w="2347" w:type="dxa"/>
            <w:vAlign w:val="center"/>
          </w:tcPr>
          <w:p>
            <w:pPr>
              <w:autoSpaceDE w:val="0"/>
              <w:autoSpaceDN w:val="0"/>
              <w:jc w:val="center"/>
              <w:rPr>
                <w:rFonts w:hint="eastAsia" w:ascii="宋体" w:hAnsi="宋体" w:eastAsia="宋体" w:cs="宋体"/>
                <w:b/>
                <w:bCs/>
                <w:sz w:val="18"/>
                <w:szCs w:val="18"/>
                <w:lang w:val="en-US" w:eastAsia="zh-CN"/>
              </w:rPr>
            </w:pPr>
            <w:r>
              <w:rPr>
                <w:rFonts w:hint="eastAsia" w:ascii="宋体" w:hAnsi="宋体" w:cs="宋体"/>
                <w:b/>
                <w:bCs/>
                <w:sz w:val="18"/>
                <w:szCs w:val="18"/>
                <w:lang w:val="en-US" w:eastAsia="zh-CN"/>
              </w:rPr>
              <w:t>/</w:t>
            </w:r>
          </w:p>
        </w:tc>
        <w:tc>
          <w:tcPr>
            <w:tcW w:w="1036" w:type="dxa"/>
          </w:tcPr>
          <w:p>
            <w:pPr>
              <w:autoSpaceDE/>
              <w:autoSpaceDN/>
              <w:ind w:firstLine="0"/>
              <w:jc w:val="left"/>
              <w:rPr>
                <w:rFonts w:hint="eastAsia" w:ascii="Times New Roman" w:hAnsi="Times New Roman" w:eastAsia="宋体" w:cs="Times New Roman"/>
                <w:b w:val="0"/>
                <w:bCs w:val="0"/>
                <w:sz w:val="21"/>
                <w:szCs w:val="24"/>
                <w:lang w:val="en-US" w:eastAsia="zh-CN"/>
              </w:rPr>
            </w:pPr>
            <w:r>
              <w:rPr>
                <w:rFonts w:hint="eastAsia" w:ascii="Times New Roman" w:hAnsi="Times New Roman" w:cs="Times New Roman"/>
                <w:b w:val="0"/>
                <w:bCs w:val="0"/>
                <w:sz w:val="21"/>
                <w:szCs w:val="24"/>
                <w:lang w:val="en-US" w:eastAsia="zh-CN"/>
              </w:rPr>
              <w:t>GB/T 29772</w:t>
            </w:r>
          </w:p>
        </w:tc>
      </w:tr>
    </w:tbl>
    <w:p>
      <w:pPr>
        <w:pStyle w:val="59"/>
        <w:bidi w:val="0"/>
        <w:rPr>
          <w:rFonts w:hint="default" w:ascii="Times New Roman"/>
          <w:szCs w:val="18"/>
          <w:highlight w:val="yellow"/>
          <w:lang w:eastAsia="zh-CN"/>
        </w:rPr>
      </w:pPr>
      <w:r>
        <w:rPr>
          <w:rFonts w:hint="eastAsia"/>
          <w:lang w:val="en-US" w:eastAsia="zh-CN"/>
        </w:rPr>
        <w:t>a）</w:t>
      </w:r>
      <w:r>
        <w:rPr>
          <w:rFonts w:hint="default"/>
          <w:lang w:eastAsia="zh-CN"/>
        </w:rPr>
        <w:t>充电效率：充电设施的充电效率是所有运行充电桩总输出电量与总输入电量的比值</w:t>
      </w:r>
      <w:r>
        <w:rPr>
          <w:rFonts w:hint="eastAsia"/>
          <w:lang w:eastAsia="zh-CN"/>
        </w:rPr>
        <w:t>。</w:t>
      </w:r>
    </w:p>
    <w:p>
      <w:pPr>
        <w:pStyle w:val="53"/>
        <w:numPr>
          <w:ilvl w:val="3"/>
          <w:numId w:val="2"/>
        </w:numPr>
        <w:spacing w:before="156" w:after="156"/>
        <w:rPr>
          <w:rFonts w:ascii="Times New Roman"/>
          <w:highlight w:val="yellow"/>
        </w:rPr>
      </w:pPr>
      <w:r>
        <w:rPr>
          <w:rFonts w:ascii="Times New Roman"/>
        </w:rPr>
        <w:t>环境效益</w:t>
      </w:r>
    </w:p>
    <w:p>
      <w:pPr>
        <w:pStyle w:val="57"/>
        <w:spacing w:before="156" w:after="156"/>
        <w:rPr>
          <w:rFonts w:ascii="Times New Roman"/>
        </w:rPr>
      </w:pPr>
      <w:r>
        <w:rPr>
          <w:rFonts w:hint="eastAsia" w:ascii="Times New Roman"/>
          <w:lang w:eastAsia="zh-CN"/>
        </w:rPr>
        <w:t>评价原则</w:t>
      </w:r>
    </w:p>
    <w:p>
      <w:pPr>
        <w:pStyle w:val="24"/>
        <w:rPr>
          <w:rFonts w:hAnsi="宋体" w:cs="宋体"/>
        </w:rPr>
      </w:pPr>
      <w:r>
        <w:rPr>
          <w:rFonts w:hint="eastAsia" w:hAnsi="宋体" w:cs="宋体"/>
          <w:lang w:eastAsia="zh-CN"/>
        </w:rPr>
        <w:t>充电、换电设施设备制造与运营产业从降碳效益、</w:t>
      </w:r>
      <w:r>
        <w:rPr>
          <w:rFonts w:hint="eastAsia" w:ascii="宋体" w:hAnsi="宋体" w:eastAsia="宋体" w:cs="宋体"/>
          <w:sz w:val="21"/>
          <w:highlight w:val="none"/>
          <w:lang w:val="en-US" w:eastAsia="zh-CN" w:bidi="ar-SA"/>
        </w:rPr>
        <w:t>减污效益进行评估，以绿色业务领域相关产品或服务应用前为基准线，按年度评估其应用后带来的有利影响增量或不利影响减量</w:t>
      </w:r>
      <w:r>
        <w:rPr>
          <w:rFonts w:hint="eastAsia" w:hAnsi="宋体" w:cs="宋体"/>
        </w:rPr>
        <w:t>。具体评分规则见表</w:t>
      </w:r>
      <w:r>
        <w:rPr>
          <w:rFonts w:hint="eastAsia" w:hAnsi="宋体" w:cs="宋体"/>
          <w:lang w:val="en-US" w:eastAsia="zh-CN"/>
        </w:rPr>
        <w:t>8</w:t>
      </w:r>
      <w:r>
        <w:rPr>
          <w:rFonts w:hint="eastAsia" w:hAnsi="宋体" w:cs="宋体"/>
        </w:rPr>
        <w:t>。</w:t>
      </w:r>
    </w:p>
    <w:p>
      <w:pPr>
        <w:pStyle w:val="128"/>
        <w:rPr>
          <w:rFonts w:ascii="Times New Roman"/>
        </w:rPr>
      </w:pPr>
      <w:r>
        <w:rPr>
          <w:rFonts w:hint="eastAsia" w:ascii="Times New Roman"/>
          <w:lang w:eastAsia="zh-CN"/>
        </w:rPr>
        <w:t>充电、换电设施设备制造与运营领域各行业实质性贡献评价指标</w:t>
      </w:r>
    </w:p>
    <w:tbl>
      <w:tblPr>
        <w:tblStyle w:val="34"/>
        <w:tblW w:w="7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79"/>
        <w:gridCol w:w="1425"/>
        <w:gridCol w:w="1710"/>
        <w:gridCol w:w="1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8" w:space="0"/>
              <w:left w:val="single" w:color="auto" w:sz="8" w:space="0"/>
              <w:bottom w:val="single" w:color="auto" w:sz="8" w:space="0"/>
              <w:right w:val="single" w:color="auto" w:sz="4" w:space="0"/>
            </w:tcBorders>
            <w:vAlign w:val="center"/>
          </w:tcPr>
          <w:p>
            <w:pPr>
              <w:autoSpaceDE w:val="0"/>
              <w:autoSpaceDN w:val="0"/>
              <w:ind w:firstLine="0" w:firstLineChars="0"/>
              <w:jc w:val="center"/>
              <w:rPr>
                <w:rFonts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环境效益</w:t>
            </w:r>
            <w:r>
              <w:rPr>
                <w:rFonts w:ascii="Times New Roman" w:hAnsi="Times New Roman" w:eastAsia="宋体" w:cs="Times New Roman"/>
                <w:b/>
                <w:bCs/>
                <w:sz w:val="18"/>
                <w:szCs w:val="16"/>
                <w:highlight w:val="none"/>
                <w:lang w:val="en-US" w:eastAsia="zh-CN" w:bidi="ar-SA"/>
              </w:rPr>
              <w:t>水平</w:t>
            </w:r>
          </w:p>
        </w:tc>
        <w:tc>
          <w:tcPr>
            <w:tcW w:w="1425"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降碳效益（分）</w:t>
            </w:r>
          </w:p>
        </w:tc>
        <w:tc>
          <w:tcPr>
            <w:tcW w:w="1710"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减污效益（分）</w:t>
            </w:r>
          </w:p>
        </w:tc>
        <w:tc>
          <w:tcPr>
            <w:tcW w:w="1485" w:type="dxa"/>
            <w:tcBorders>
              <w:top w:val="single" w:color="auto" w:sz="8" w:space="0"/>
              <w:left w:val="single" w:color="auto" w:sz="4"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Times New Roman" w:hAnsi="Times New Roman" w:eastAsia="宋体" w:cs="Times New Roman"/>
                <w:b w:val="0"/>
                <w:bCs w:val="0"/>
                <w:sz w:val="18"/>
                <w:szCs w:val="16"/>
                <w:highlight w:val="none"/>
                <w:lang w:val="en-US" w:eastAsia="zh-CN" w:bidi="ar-SA"/>
              </w:rPr>
              <w:t>涉及环境效益种类较多，产生实际环境效益贡献量较高。</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12</w:t>
            </w:r>
            <w:r>
              <w:rPr>
                <w:rFonts w:hint="eastAsia" w:ascii="宋体" w:hAnsi="宋体" w:eastAsia="宋体" w:cs="宋体"/>
                <w:sz w:val="18"/>
                <w:szCs w:val="16"/>
                <w:highlight w:val="none"/>
                <w:lang w:val="en-US" w:eastAsia="zh-CN" w:bidi="ar-SA"/>
              </w:rPr>
              <w:t>]</w:t>
            </w:r>
          </w:p>
        </w:tc>
        <w:tc>
          <w:tcPr>
            <w:tcW w:w="1710"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485" w:type="dxa"/>
            <w:vMerge w:val="restart"/>
            <w:tcBorders>
              <w:top w:val="single" w:color="auto" w:sz="4" w:space="0"/>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该项得分为</w:t>
            </w:r>
            <w:r>
              <w:rPr>
                <w:rFonts w:hint="eastAsia" w:ascii="宋体" w:hAnsi="宋体" w:cs="宋体"/>
                <w:sz w:val="18"/>
                <w:szCs w:val="16"/>
                <w:highlight w:val="none"/>
                <w:lang w:val="en-US" w:eastAsia="zh-CN" w:bidi="ar-SA"/>
              </w:rPr>
              <w:t>两</w:t>
            </w:r>
            <w:r>
              <w:rPr>
                <w:rFonts w:hint="eastAsia" w:ascii="宋体" w:hAnsi="宋体" w:eastAsia="宋体" w:cs="宋体"/>
                <w:sz w:val="18"/>
                <w:szCs w:val="16"/>
                <w:highlight w:val="none"/>
                <w:lang w:val="en-US" w:eastAsia="zh-CN" w:bidi="ar-SA"/>
              </w:rPr>
              <w:t>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涉及环境效益种类一般，产生实际环境效益贡献量一般。</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p>
        </w:tc>
        <w:tc>
          <w:tcPr>
            <w:tcW w:w="1710"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p>
        </w:tc>
        <w:tc>
          <w:tcPr>
            <w:tcW w:w="1485"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涉及环境效益种类较少，产生实际环境效益贡献量较少。</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710"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p>
        </w:tc>
        <w:tc>
          <w:tcPr>
            <w:tcW w:w="1485"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8" w:space="0"/>
              <w:right w:val="single" w:color="auto" w:sz="4" w:space="0"/>
            </w:tcBorders>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未产生实际环境效益。</w:t>
            </w:r>
          </w:p>
        </w:tc>
        <w:tc>
          <w:tcPr>
            <w:tcW w:w="1425"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710"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485" w:type="dxa"/>
            <w:vMerge w:val="continue"/>
            <w:tcBorders>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bl>
    <w:p>
      <w:pPr>
        <w:pStyle w:val="57"/>
        <w:spacing w:before="0" w:after="0"/>
        <w:rPr>
          <w:rFonts w:ascii="Times New Roman"/>
        </w:rPr>
      </w:pPr>
      <w:r>
        <w:rPr>
          <w:rFonts w:hint="eastAsia"/>
          <w:lang w:val="en-US" w:eastAsia="zh-CN"/>
        </w:rPr>
        <w:t>降碳效益</w:t>
      </w:r>
    </w:p>
    <w:p>
      <w:pPr>
        <w:pStyle w:val="58"/>
        <w:rPr>
          <w:rFonts w:hint="default" w:hAnsi="宋体" w:cs="宋体"/>
          <w:lang w:val="en-US" w:eastAsia="zh-CN"/>
        </w:rPr>
      </w:pPr>
      <w:r>
        <w:rPr>
          <w:rFonts w:hint="eastAsia"/>
          <w:lang w:val="en-US" w:eastAsia="zh-CN"/>
        </w:rPr>
        <w:t>节能量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指提供的绿色业务领域相关产品或服务，在采购方应用过程中，使得采购方满足同等需要或达到相同目的条件下，能源消费减少的数量。计算公式如下：</w:t>
      </w:r>
    </w:p>
    <w:p>
      <w:pPr>
        <w:pStyle w:val="129"/>
        <w:rPr>
          <w:rFonts w:hAnsi="宋体" w:cs="宋体"/>
        </w:rPr>
      </w:pPr>
      <m:oMathPara>
        <m:oMath>
          <m:r>
            <m:rPr/>
            <w:rPr>
              <w:rFonts w:hint="default" w:ascii="Cambria Math" w:hAnsi="Cambria Math" w:cs="宋体"/>
              <w:lang w:val="en-US" w:eastAsia="zh-CN"/>
            </w:rPr>
            <m:t>E</m:t>
          </m:r>
          <m:r>
            <m:rPr/>
            <w:rPr>
              <w:rFonts w:hint="eastAsia" w:ascii="Cambria Math" w:hAnsi="Cambria Math" w:cs="宋体"/>
            </w:rPr>
            <m:t>=</m:t>
          </m:r>
          <m:sSub>
            <m:sSubPr>
              <m:ctrlPr>
                <w:rPr>
                  <w:rFonts w:hint="eastAsia" w:ascii="Cambria Math" w:hAnsi="Cambria Math" w:cs="宋体"/>
                  <w:i/>
                </w:rPr>
              </m:ctrlPr>
            </m:sSubPr>
            <m:e>
              <m:r>
                <m:rPr/>
                <w:rPr>
                  <w:rFonts w:hint="default" w:ascii="Cambria Math" w:hAnsi="Cambria Math" w:cs="宋体"/>
                  <w:lang w:val="en-US" w:eastAsia="zh-CN"/>
                </w:rPr>
                <m:t>W</m:t>
              </m:r>
              <m:ctrlPr>
                <w:rPr>
                  <w:rFonts w:hint="eastAsia" w:ascii="Cambria Math" w:hAnsi="Cambria Math" w:cs="宋体"/>
                  <w:i/>
                </w:rPr>
              </m:ctrlPr>
            </m:e>
            <m:sub>
              <m:r>
                <m:rPr/>
                <w:rPr>
                  <w:rFonts w:hint="default" w:ascii="Cambria Math" w:hAnsi="Cambria Math" w:cs="宋体"/>
                  <w:lang w:val="en-US" w:eastAsia="zh-CN"/>
                </w:rPr>
                <m:t>E</m:t>
              </m:r>
              <m:ctrlPr>
                <w:rPr>
                  <w:rFonts w:hint="eastAsia" w:ascii="Cambria Math" w:hAnsi="Cambria Math" w:cs="宋体"/>
                  <w:i/>
                </w:rPr>
              </m:ctrlPr>
            </m:sub>
          </m:sSub>
          <m:r>
            <m:rPr/>
            <w:rPr>
              <w:rFonts w:ascii="Cambria Math" w:hAnsi="Cambria Math" w:cs="宋体"/>
            </w:rPr>
            <m:t>×β×</m:t>
          </m:r>
          <m:r>
            <m:rPr/>
            <w:rPr>
              <w:rFonts w:hint="default" w:ascii="Cambria Math" w:hAnsi="Cambria Math" w:cs="宋体"/>
              <w:lang w:val="en-US" w:eastAsia="zh-CN"/>
            </w:rPr>
            <m:t>10+</m:t>
          </m:r>
          <m:sSub>
            <m:sSubPr>
              <m:ctrlPr>
                <w:rPr>
                  <w:rFonts w:hint="default" w:ascii="Cambria Math" w:hAnsi="Cambria Math" w:cs="宋体"/>
                  <w:i/>
                  <w:lang w:val="en-US" w:eastAsia="zh-CN"/>
                </w:rPr>
              </m:ctrlPr>
            </m:sSubPr>
            <m:e>
              <m:r>
                <m:rPr/>
                <w:rPr>
                  <w:rFonts w:hint="default" w:ascii="Cambria Math" w:hAnsi="Cambria Math" w:cs="宋体"/>
                  <w:lang w:val="en-US" w:eastAsia="zh-CN"/>
                </w:rPr>
                <m:t>Q</m:t>
              </m:r>
              <m:ctrlPr>
                <w:rPr>
                  <w:rFonts w:hint="default" w:ascii="Cambria Math" w:hAnsi="Cambria Math" w:cs="宋体"/>
                  <w:i/>
                  <w:lang w:val="en-US" w:eastAsia="zh-CN"/>
                </w:rPr>
              </m:ctrlPr>
            </m:e>
            <m:sub>
              <m:r>
                <m:rPr/>
                <w:rPr>
                  <w:rFonts w:hint="default" w:ascii="Cambria Math" w:hAnsi="Cambria Math" w:cs="宋体"/>
                  <w:lang w:val="en-US" w:eastAsia="zh-CN"/>
                </w:rPr>
                <m:t>E</m:t>
              </m:r>
              <m:ctrlPr>
                <w:rPr>
                  <w:rFonts w:hint="default" w:ascii="Cambria Math" w:hAnsi="Cambria Math" w:cs="宋体"/>
                  <w:i/>
                  <w:lang w:val="en-US" w:eastAsia="zh-CN"/>
                </w:rPr>
              </m:ctrlPr>
            </m:sub>
          </m:sSub>
          <m:r>
            <m:rPr/>
            <w:rPr>
              <w:rFonts w:ascii="Cambria Math" w:hAnsi="Cambria Math" w:cs="宋体"/>
              <w:lang w:val="en-US"/>
            </w:rPr>
            <m:t>×</m:t>
          </m:r>
          <m:sSub>
            <m:sSubPr>
              <m:ctrlPr>
                <w:rPr>
                  <w:rFonts w:ascii="Cambria Math" w:hAnsi="Cambria Math" w:cs="宋体"/>
                  <w:i/>
                  <w:lang w:val="en-US"/>
                </w:rPr>
              </m:ctrlPr>
            </m:sSubPr>
            <m:e>
              <m:r>
                <m:rPr/>
                <w:rPr>
                  <w:rFonts w:hint="default" w:ascii="Cambria Math" w:hAnsi="Cambria Math" w:cs="宋体"/>
                  <w:lang w:val="en-US" w:eastAsia="zh-CN"/>
                </w:rPr>
                <m:t>b</m:t>
              </m:r>
              <m:ctrlPr>
                <w:rPr>
                  <w:rFonts w:ascii="Cambria Math" w:hAnsi="Cambria Math" w:cs="宋体"/>
                  <w:i/>
                  <w:lang w:val="en-US"/>
                </w:rPr>
              </m:ctrlPr>
            </m:e>
            <m:sub>
              <m:r>
                <m:rPr/>
                <w:rPr>
                  <w:rFonts w:hint="default" w:ascii="Cambria Math" w:hAnsi="Cambria Math" w:cs="宋体"/>
                  <w:lang w:val="en-US" w:eastAsia="zh-CN"/>
                </w:rPr>
                <m:t>E</m:t>
              </m:r>
              <m:ctrlPr>
                <w:rPr>
                  <w:rFonts w:ascii="Cambria Math" w:hAnsi="Cambria Math" w:cs="宋体"/>
                  <w:i/>
                  <w:lang w:val="en-US"/>
                </w:rPr>
              </m:ctrlPr>
            </m:sub>
          </m:sSub>
          <m:r>
            <m:rPr/>
            <w:rPr>
              <w:rFonts w:ascii="Cambria Math" w:hAnsi="Cambria Math" w:cs="宋体"/>
              <w:lang w:val="en-US"/>
            </w:rPr>
            <m:t>×</m:t>
          </m:r>
          <m:sSup>
            <m:sSupPr>
              <m:ctrlPr>
                <w:rPr>
                  <w:rFonts w:ascii="Cambria Math" w:hAnsi="Cambria Math" w:cs="宋体"/>
                  <w:i/>
                  <w:lang w:val="en-US"/>
                </w:rPr>
              </m:ctrlPr>
            </m:sSupPr>
            <m:e>
              <m:r>
                <m:rPr/>
                <w:rPr>
                  <w:rFonts w:hint="default" w:ascii="Cambria Math" w:hAnsi="Cambria Math" w:cs="宋体"/>
                  <w:lang w:val="en-US" w:eastAsia="zh-CN"/>
                </w:rPr>
                <m:t>10</m:t>
              </m:r>
              <m:ctrlPr>
                <w:rPr>
                  <w:rFonts w:ascii="Cambria Math" w:hAnsi="Cambria Math" w:cs="宋体"/>
                  <w:i/>
                  <w:lang w:val="en-US"/>
                </w:rPr>
              </m:ctrlPr>
            </m:e>
            <m:sup>
              <m:r>
                <m:rPr/>
                <w:rPr>
                  <w:rFonts w:hint="default" w:ascii="Cambria Math" w:hAnsi="Cambria Math" w:cs="宋体"/>
                  <w:lang w:val="en-US" w:eastAsia="zh-CN"/>
                </w:rPr>
                <m:t>3</m:t>
              </m:r>
              <m:ctrlPr>
                <w:rPr>
                  <w:rFonts w:ascii="Cambria Math" w:hAnsi="Cambria Math" w:cs="宋体"/>
                  <w:i/>
                  <w:lang w:val="en-US"/>
                </w:rPr>
              </m:ctrlPr>
            </m:sup>
          </m:sSup>
        </m:oMath>
      </m:oMathPara>
    </w:p>
    <w:p>
      <w:pPr>
        <w:pStyle w:val="129"/>
        <w:spacing w:line="360" w:lineRule="auto"/>
        <w:ind w:firstLine="420" w:firstLineChars="200"/>
        <w:rPr>
          <w:rFonts w:ascii="仿宋_GB2312" w:hAnsi="宋体" w:eastAsia="仿宋_GB2312"/>
          <w:szCs w:val="21"/>
        </w:rPr>
      </w:pPr>
      <w:r>
        <w:rPr>
          <w:rFonts w:hint="eastAsia" w:hAnsi="宋体" w:cs="宋体"/>
        </w:rPr>
        <w:t>式中：</w:t>
      </w:r>
    </w:p>
    <w:p>
      <w:pPr>
        <w:spacing w:line="240" w:lineRule="auto"/>
        <w:ind w:firstLine="422" w:firstLineChars="201"/>
        <w:rPr>
          <w:rFonts w:hint="eastAsia" w:ascii="宋体" w:hAnsi="宋体" w:eastAsia="宋体" w:cs="宋体"/>
          <w:szCs w:val="24"/>
        </w:rPr>
      </w:pPr>
      <m:oMath>
        <m:r>
          <m:rPr>
            <m:sty m:val="p"/>
          </m:rPr>
          <w:rPr>
            <w:rFonts w:hint="eastAsia" w:ascii="Cambria Math" w:hAnsi="Cambria Math" w:cs="宋体"/>
            <w:lang w:val="en-US" w:eastAsia="zh-CN"/>
          </w:rPr>
          <m:t>E</m:t>
        </m:r>
      </m:oMath>
      <w:r>
        <w:rPr>
          <w:rFonts w:hint="eastAsia" w:ascii="宋体" w:hAnsi="宋体" w:eastAsia="宋体" w:cs="宋体"/>
          <w:szCs w:val="24"/>
        </w:rPr>
        <w:t>--年标准煤节约能力，单位为：吨标准煤；</w:t>
      </w:r>
      <w:r>
        <w:rPr>
          <w:rFonts w:hint="eastAsia" w:ascii="宋体" w:hAnsi="宋体" w:eastAsia="宋体" w:cs="宋体"/>
          <w:szCs w:val="24"/>
        </w:rPr>
        <w:tab/>
      </w:r>
    </w:p>
    <w:p>
      <w:pPr>
        <w:spacing w:line="240" w:lineRule="auto"/>
        <w:ind w:firstLine="422" w:firstLineChars="201"/>
        <w:rPr>
          <w:rFonts w:hint="eastAsia" w:ascii="宋体" w:hAnsi="宋体" w:eastAsia="宋体" w:cs="宋体"/>
          <w:szCs w:val="24"/>
        </w:rPr>
      </w:pPr>
      <m:oMath>
        <m:sSub>
          <m:sSubPr>
            <m:ctrlPr>
              <w:rPr>
                <w:rFonts w:hint="eastAsia" w:ascii="Cambria Math" w:hAnsi="Cambria Math" w:cs="宋体"/>
                <w:i w:val="0"/>
              </w:rPr>
            </m:ctrlPr>
          </m:sSubPr>
          <m:e>
            <m:r>
              <m:rPr>
                <m:sty m:val="p"/>
              </m:rPr>
              <w:rPr>
                <w:rFonts w:hint="eastAsia" w:ascii="Cambria Math" w:hAnsi="Cambria Math" w:cs="宋体"/>
                <w:lang w:val="en-US" w:eastAsia="zh-CN"/>
              </w:rPr>
              <m:t>W</m:t>
            </m:r>
            <m:ctrlPr>
              <w:rPr>
                <w:rFonts w:hint="eastAsia" w:ascii="Cambria Math" w:hAnsi="Cambria Math" w:cs="宋体"/>
                <w:i w:val="0"/>
              </w:rPr>
            </m:ctrlPr>
          </m:e>
          <m:sub>
            <m:r>
              <m:rPr>
                <m:sty m:val="p"/>
              </m:rPr>
              <w:rPr>
                <w:rFonts w:hint="eastAsia" w:ascii="Cambria Math" w:hAnsi="Cambria Math" w:cs="宋体"/>
                <w:lang w:val="en-US" w:eastAsia="zh-CN"/>
              </w:rPr>
              <m:t>E</m:t>
            </m:r>
            <m:ctrlPr>
              <w:rPr>
                <w:rFonts w:hint="eastAsia" w:ascii="Cambria Math" w:hAnsi="Cambria Math" w:cs="宋体"/>
                <w:i w:val="0"/>
              </w:rPr>
            </m:ctrlPr>
          </m:sub>
        </m:sSub>
      </m:oMath>
      <w:r>
        <w:rPr>
          <w:rFonts w:hint="eastAsia" w:ascii="宋体" w:hAnsi="宋体" w:eastAsia="宋体" w:cs="宋体"/>
          <w:szCs w:val="24"/>
        </w:rPr>
        <w:t>--</w:t>
      </w:r>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ascii="宋体" w:hAnsi="宋体" w:eastAsia="宋体" w:cs="宋体"/>
          <w:szCs w:val="24"/>
        </w:rPr>
        <w:t>，单位为：万千瓦时；</w:t>
      </w:r>
    </w:p>
    <w:p>
      <w:pPr>
        <w:spacing w:line="240" w:lineRule="auto"/>
        <w:ind w:firstLine="422" w:firstLineChars="201"/>
        <w:rPr>
          <w:rFonts w:hint="eastAsia" w:ascii="宋体" w:hAnsi="宋体" w:eastAsia="宋体" w:cs="宋体"/>
          <w:szCs w:val="24"/>
        </w:rPr>
      </w:pPr>
      <m:oMath>
        <m:r>
          <m:rPr>
            <m:sty m:val="p"/>
          </m:rPr>
          <w:rPr>
            <w:rFonts w:hint="eastAsia" w:ascii="Cambria Math" w:hAnsi="Cambria Math" w:cs="宋体"/>
          </w:rPr>
          <m:t>β</m:t>
        </m:r>
      </m:oMath>
      <w:r>
        <w:rPr>
          <w:rFonts w:hint="eastAsia" w:ascii="宋体" w:hAnsi="宋体" w:eastAsia="宋体" w:cs="宋体"/>
          <w:szCs w:val="24"/>
        </w:rPr>
        <w:t>--项目投产年度全国平均火电供电煤耗，单位为：千克标煤/千瓦时；该数值取环境效益测算年度的上一年度全国平均火电供电煤耗度数据。</w:t>
      </w:r>
    </w:p>
    <w:p>
      <w:pPr>
        <w:spacing w:line="240" w:lineRule="auto"/>
        <w:ind w:firstLine="422" w:firstLineChars="201"/>
        <w:rPr>
          <w:rFonts w:hint="eastAsia" w:ascii="宋体" w:hAnsi="宋体" w:eastAsia="宋体" w:cs="宋体"/>
          <w:szCs w:val="24"/>
        </w:rPr>
      </w:pPr>
      <m:oMath>
        <m:sSub>
          <m:sSubPr>
            <m:ctrlPr>
              <w:rPr>
                <w:rFonts w:hint="eastAsia" w:ascii="Cambria Math" w:hAnsi="Cambria Math" w:cs="宋体"/>
                <w:i w:val="0"/>
                <w:lang w:val="en-US" w:eastAsia="zh-CN"/>
              </w:rPr>
            </m:ctrlPr>
          </m:sSubPr>
          <m:e>
            <m:r>
              <m:rPr>
                <m:sty m:val="p"/>
              </m:rPr>
              <w:rPr>
                <w:rFonts w:hint="eastAsia" w:ascii="Cambria Math" w:hAnsi="Cambria Math" w:cs="宋体"/>
                <w:lang w:val="en-US" w:eastAsia="zh-CN"/>
              </w:rPr>
              <m:t>Q</m:t>
            </m:r>
            <m:ctrlPr>
              <w:rPr>
                <w:rFonts w:hint="eastAsia" w:ascii="Cambria Math" w:hAnsi="Cambria Math" w:cs="宋体"/>
                <w:i w:val="0"/>
                <w:lang w:val="en-US" w:eastAsia="zh-CN"/>
              </w:rPr>
            </m:ctrlPr>
          </m:e>
          <m:sub>
            <m:r>
              <m:rPr>
                <m:sty m:val="p"/>
              </m:rPr>
              <w:rPr>
                <w:rFonts w:hint="eastAsia" w:ascii="Cambria Math" w:hAnsi="Cambria Math" w:cs="宋体"/>
                <w:lang w:val="en-US" w:eastAsia="zh-CN"/>
              </w:rPr>
              <m:t>E</m:t>
            </m:r>
            <m:ctrlPr>
              <w:rPr>
                <w:rFonts w:hint="eastAsia" w:ascii="Cambria Math" w:hAnsi="Cambria Math" w:cs="宋体"/>
                <w:i w:val="0"/>
                <w:lang w:val="en-US" w:eastAsia="zh-CN"/>
              </w:rPr>
            </m:ctrlPr>
          </m:sub>
        </m:sSub>
      </m:oMath>
      <w:r>
        <w:rPr>
          <w:rFonts w:hint="eastAsia" w:ascii="宋体" w:hAnsi="宋体" w:eastAsia="宋体" w:cs="宋体"/>
          <w:szCs w:val="24"/>
        </w:rPr>
        <w:t>--项目年供热量，单位：百万吉焦；若只发电不供热，则</w:t>
      </w: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eastAsia" w:ascii="Cambria Math" w:hAnsi="Cambria Math" w:cs="宋体"/>
                <w:sz w:val="21"/>
                <w:lang w:val="en-US" w:eastAsia="zh-CN"/>
              </w:rPr>
              <m:t>g</m:t>
            </m:r>
            <m:ctrlPr>
              <w:rPr>
                <w:rFonts w:hint="eastAsia" w:ascii="Cambria Math" w:hAnsi="Cambria Math" w:cs="宋体"/>
                <w:sz w:val="21"/>
                <w:lang w:val="en-US"/>
              </w:rPr>
            </m:ctrlPr>
          </m:sub>
        </m:sSub>
      </m:oMath>
      <w:r>
        <w:rPr>
          <w:rFonts w:hint="eastAsia" w:ascii="宋体" w:hAnsi="宋体" w:eastAsia="宋体" w:cs="宋体"/>
          <w:szCs w:val="24"/>
        </w:rPr>
        <w:t>值为零；</w:t>
      </w:r>
    </w:p>
    <w:p>
      <w:pPr>
        <w:spacing w:line="240" w:lineRule="auto"/>
        <w:ind w:firstLine="422" w:firstLineChars="201"/>
        <w:rPr>
          <w:rFonts w:hint="eastAsia" w:ascii="宋体" w:hAnsi="宋体" w:eastAsia="宋体" w:cs="宋体"/>
          <w:szCs w:val="24"/>
        </w:rPr>
      </w:pPr>
      <m:oMath>
        <m:sSub>
          <m:sSubPr>
            <m:ctrlPr>
              <w:rPr>
                <w:rFonts w:hint="eastAsia" w:ascii="Cambria Math" w:hAnsi="Cambria Math" w:cs="宋体"/>
                <w:i w:val="0"/>
                <w:lang w:val="en-US"/>
              </w:rPr>
            </m:ctrlPr>
          </m:sSubPr>
          <m:e>
            <m:r>
              <m:rPr>
                <m:sty m:val="p"/>
              </m:rPr>
              <w:rPr>
                <w:rFonts w:hint="eastAsia" w:ascii="Cambria Math" w:hAnsi="Cambria Math" w:cs="宋体"/>
                <w:lang w:val="en-US" w:eastAsia="zh-CN"/>
              </w:rPr>
              <m:t>b</m:t>
            </m:r>
            <m:ctrlPr>
              <w:rPr>
                <w:rFonts w:hint="eastAsia" w:ascii="Cambria Math" w:hAnsi="Cambria Math" w:cs="宋体"/>
                <w:i w:val="0"/>
                <w:lang w:val="en-US"/>
              </w:rPr>
            </m:ctrlPr>
          </m:e>
          <m:sub>
            <m:r>
              <m:rPr>
                <m:sty m:val="p"/>
              </m:rPr>
              <w:rPr>
                <w:rFonts w:hint="eastAsia" w:ascii="Cambria Math" w:hAnsi="Cambria Math" w:cs="宋体"/>
                <w:lang w:val="en-US" w:eastAsia="zh-CN"/>
              </w:rPr>
              <m:t>E</m:t>
            </m:r>
            <m:ctrlPr>
              <w:rPr>
                <w:rFonts w:hint="eastAsia" w:ascii="Cambria Math" w:hAnsi="Cambria Math" w:cs="宋体"/>
                <w:i w:val="0"/>
                <w:lang w:val="en-US"/>
              </w:rPr>
            </m:ctrlPr>
          </m:sub>
        </m:sSub>
      </m:oMath>
      <w:r>
        <w:rPr>
          <w:rFonts w:hint="eastAsia" w:ascii="宋体" w:hAnsi="宋体" w:eastAsia="宋体" w:cs="宋体"/>
          <w:szCs w:val="24"/>
        </w:rPr>
        <w:t>--全国集中供热锅炉房平均供热煤耗，单位：千克标煤/吉焦。缺省值40千克标煤/吉焦。</w:t>
      </w:r>
    </w:p>
    <w:p>
      <w:pPr>
        <w:pStyle w:val="24"/>
        <w:rPr>
          <w:rFonts w:hint="eastAsia"/>
        </w:rPr>
      </w:pPr>
    </w:p>
    <w:p>
      <w:pPr>
        <w:pStyle w:val="58"/>
        <w:tabs>
          <w:tab w:val="center" w:pos="4201"/>
          <w:tab w:val="right" w:leader="dot" w:pos="9298"/>
        </w:tabs>
        <w:rPr>
          <w:rFonts w:hint="eastAsia" w:hAnsi="宋体" w:cs="宋体"/>
          <w:lang w:val="en-US" w:eastAsia="zh-CN"/>
        </w:rPr>
      </w:pPr>
      <w:r>
        <w:rPr>
          <w:rFonts w:hint="eastAsia" w:hAnsi="宋体" w:cs="宋体"/>
          <w:lang w:val="en-US" w:eastAsia="zh-CN"/>
        </w:rPr>
        <w:t>碳减排量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指提供的绿色业务领域相关产品或服务，在采购方应用过程中，因替代化石能源消耗产生的温室气体减排量，折算产生的二氧化碳当量排放减少量。</w:t>
      </w:r>
      <w:r>
        <w:rPr>
          <w:rFonts w:hint="eastAsia" w:hAnsi="宋体" w:cs="宋体"/>
          <w:lang w:eastAsia="zh-CN"/>
        </w:rPr>
        <w:t>其中，对于装备制造领域，碳减排量为典型使用场景下所产生的碳减排量。</w:t>
      </w:r>
      <w:r>
        <w:rPr>
          <w:rFonts w:hint="eastAsia" w:hAnsi="宋体" w:cs="宋体"/>
          <w:lang w:val="en-US" w:eastAsia="zh-CN"/>
        </w:rPr>
        <w:t>计算公式如下：</w:t>
      </w:r>
    </w:p>
    <w:p>
      <w:pPr>
        <w:pStyle w:val="129"/>
        <w:rPr>
          <w:rFonts w:hint="default" w:hAnsi="宋体" w:eastAsia="宋体" w:cs="宋体"/>
          <w:lang w:val="en-US" w:eastAsia="zh-CN"/>
        </w:rPr>
      </w:pPr>
      <m:oMathPara>
        <m:oMath>
          <m:sSub>
            <m:sSubPr>
              <m:ctrlPr>
                <w:rPr>
                  <w:rFonts w:hint="default" w:ascii="Cambria Math" w:hAnsi="Cambria Math" w:cs="宋体"/>
                  <w:i w:val="0"/>
                  <w:sz w:val="21"/>
                </w:rPr>
              </m:ctrlPr>
            </m:sSubPr>
            <m:e>
              <m:r>
                <m:rPr>
                  <m:sty m:val="p"/>
                </m:rPr>
                <w:rPr>
                  <w:rFonts w:hint="default" w:ascii="Cambria Math" w:hAnsi="Cambria Math" w:cs="宋体"/>
                  <w:lang w:val="en-US" w:eastAsia="zh-CN"/>
                </w:rPr>
                <m:t>Q</m:t>
              </m:r>
              <m:ctrlPr>
                <w:rPr>
                  <w:rFonts w:hint="default" w:ascii="Cambria Math" w:hAnsi="Cambria Math" w:cs="宋体"/>
                  <w:i w:val="0"/>
                  <w:sz w:val="21"/>
                </w:rPr>
              </m:ctrlPr>
            </m:e>
            <m:sub>
              <m:sSub>
                <m:sSubPr>
                  <m:ctrlPr>
                    <w:rPr>
                      <w:rFonts w:hint="default" w:ascii="Cambria Math" w:hAnsi="Cambria Math" w:cs="宋体"/>
                      <w:i w:val="0"/>
                      <w:sz w:val="21"/>
                    </w:rPr>
                  </m:ctrlPr>
                </m:sSubPr>
                <m:e>
                  <m:r>
                    <m:rPr>
                      <m:sty m:val="p"/>
                    </m:rPr>
                    <w:rPr>
                      <w:rFonts w:hint="default" w:ascii="Cambria Math" w:hAnsi="Cambria Math" w:cs="宋体"/>
                      <w:lang w:val="en-US" w:eastAsia="zh-CN"/>
                    </w:rPr>
                    <m:t>CO</m:t>
                  </m:r>
                  <m:ctrlPr>
                    <w:rPr>
                      <w:rFonts w:hint="default" w:ascii="Cambria Math" w:hAnsi="Cambria Math" w:cs="宋体"/>
                      <w:i w:val="0"/>
                      <w:sz w:val="21"/>
                    </w:rPr>
                  </m:ctrlPr>
                </m:e>
                <m:sub>
                  <m:r>
                    <m:rPr>
                      <m:sty m:val="p"/>
                    </m:rPr>
                    <w:rPr>
                      <w:rFonts w:hint="default" w:ascii="Cambria Math" w:hAnsi="Cambria Math" w:cs="宋体"/>
                      <w:lang w:val="en-US" w:eastAsia="zh-CN"/>
                    </w:rPr>
                    <m:t>2</m:t>
                  </m:r>
                  <m:ctrlPr>
                    <w:rPr>
                      <w:rFonts w:hint="default" w:ascii="Cambria Math" w:hAnsi="Cambria Math" w:cs="宋体"/>
                      <w:i w:val="0"/>
                      <w:sz w:val="21"/>
                    </w:rPr>
                  </m:ctrlPr>
                </m:sub>
              </m:sSub>
              <m:r>
                <m:rPr>
                  <m:sty m:val="p"/>
                </m:rPr>
                <w:rPr>
                  <w:rFonts w:hint="default" w:ascii="Cambria Math" w:hAnsi="Cambria Math" w:cs="宋体"/>
                  <w:lang w:val="en-US" w:eastAsia="zh-CN"/>
                </w:rPr>
                <m:t>e</m:t>
              </m:r>
              <m:ctrlPr>
                <w:rPr>
                  <w:rFonts w:hint="default" w:ascii="Cambria Math" w:hAnsi="Cambria Math" w:cs="宋体"/>
                  <w:i w:val="0"/>
                  <w:sz w:val="21"/>
                </w:rPr>
              </m:ctrlPr>
            </m:sub>
          </m:sSub>
          <m:r>
            <m:rPr>
              <m:sty m:val="p"/>
            </m:rPr>
            <w:rPr>
              <w:rFonts w:hint="default" w:ascii="Cambria Math" w:hAnsi="Cambria Math" w:cs="宋体"/>
            </w:rPr>
            <m:t>=</m:t>
          </m:r>
          <m:sSub>
            <m:sSubPr>
              <m:ctrlPr>
                <w:rPr>
                  <w:rFonts w:hint="default" w:ascii="Cambria Math" w:hAnsi="Cambria Math" w:cs="宋体"/>
                  <w:i w:val="0"/>
                  <w:sz w:val="21"/>
                </w:rPr>
              </m:ctrlPr>
            </m:sSubPr>
            <m:e>
              <m:r>
                <m:rPr>
                  <m:sty m:val="p"/>
                </m:rPr>
                <w:rPr>
                  <w:rFonts w:hint="default" w:ascii="Cambria Math" w:hAnsi="Cambria Math" w:cs="宋体"/>
                  <w:sz w:val="21"/>
                  <w:lang w:val="en-US" w:eastAsia="zh-CN"/>
                </w:rPr>
                <m:t>W</m:t>
              </m:r>
              <m:ctrlPr>
                <w:rPr>
                  <w:rFonts w:hint="default" w:ascii="Cambria Math" w:hAnsi="Cambria Math" w:cs="宋体"/>
                  <w:i w:val="0"/>
                  <w:sz w:val="21"/>
                </w:rPr>
              </m:ctrlPr>
            </m:e>
            <m:sub>
              <m:r>
                <m:rPr>
                  <m:sty m:val="p"/>
                </m:rPr>
                <w:rPr>
                  <w:rFonts w:hint="default" w:ascii="Cambria Math" w:hAnsi="Cambria Math" w:cs="宋体"/>
                  <w:sz w:val="21"/>
                  <w:lang w:val="en-US" w:eastAsia="zh-CN"/>
                </w:rPr>
                <m:t>g</m:t>
              </m:r>
              <m:ctrlPr>
                <w:rPr>
                  <w:rFonts w:hint="default" w:ascii="Cambria Math" w:hAnsi="Cambria Math" w:cs="宋体"/>
                  <w:i w:val="0"/>
                  <w:sz w:val="21"/>
                </w:rPr>
              </m:ctrlPr>
            </m:sub>
          </m:sSub>
          <m:r>
            <m:rPr>
              <m:sty m:val="p"/>
            </m:rPr>
            <w:rPr>
              <w:rFonts w:ascii="Cambria Math" w:hAnsi="Cambria Math" w:cs="宋体"/>
              <w:lang w:val="en-US"/>
            </w:rPr>
            <m:t>×</m:t>
          </m:r>
          <m:sSub>
            <m:sSubPr>
              <m:ctrlPr>
                <w:rPr>
                  <w:rFonts w:ascii="Cambria Math" w:hAnsi="Cambria Math" w:cs="宋体"/>
                  <w:i w:val="0"/>
                  <w:sz w:val="21"/>
                  <w:lang w:val="en-US"/>
                </w:rPr>
              </m:ctrlPr>
            </m:sSubPr>
            <m:e>
              <m:r>
                <m:rPr>
                  <m:sty m:val="p"/>
                </m:rPr>
                <w:rPr>
                  <w:rFonts w:ascii="Cambria Math" w:hAnsi="Cambria Math" w:cs="宋体"/>
                  <w:sz w:val="21"/>
                  <w:lang w:val="en-US"/>
                </w:rPr>
                <m:t>α</m:t>
              </m:r>
              <m:ctrlPr>
                <w:rPr>
                  <w:rFonts w:ascii="Cambria Math" w:hAnsi="Cambria Math" w:cs="宋体"/>
                  <w:i w:val="0"/>
                  <w:sz w:val="21"/>
                  <w:lang w:val="en-US"/>
                </w:rPr>
              </m:ctrlPr>
            </m:e>
            <m:sub>
              <m:r>
                <m:rPr>
                  <m:sty m:val="p"/>
                </m:rPr>
                <w:rPr>
                  <w:rFonts w:hint="default" w:ascii="Cambria Math" w:hAnsi="Cambria Math" w:cs="宋体"/>
                  <w:sz w:val="21"/>
                  <w:lang w:val="en-US" w:eastAsia="zh-CN"/>
                </w:rPr>
                <m:t>j</m:t>
              </m:r>
              <m:ctrlPr>
                <w:rPr>
                  <w:rFonts w:ascii="Cambria Math" w:hAnsi="Cambria Math" w:cs="宋体"/>
                  <w:sz w:val="21"/>
                  <w:lang w:val="en-US"/>
                </w:rPr>
              </m:ctrlPr>
            </m:sub>
          </m:sSub>
          <m:r>
            <m:rPr>
              <m:sty m:val="p"/>
            </m:rPr>
            <w:rPr>
              <w:rFonts w:hint="default" w:ascii="Cambria Math" w:hAnsi="Cambria Math" w:cs="宋体"/>
              <w:sz w:val="21"/>
              <w:lang w:val="en-US" w:eastAsia="zh-CN"/>
            </w:rPr>
            <m:t>+</m:t>
          </m:r>
          <m:sSub>
            <m:sSubPr>
              <m:ctrlPr>
                <w:rPr>
                  <w:rFonts w:ascii="Cambria Math" w:hAnsi="Cambria Math" w:cs="宋体"/>
                  <w:sz w:val="21"/>
                  <w:lang w:val="en-US"/>
                </w:rPr>
              </m:ctrlPr>
            </m:sSubPr>
            <m:e>
              <m:r>
                <m:rPr>
                  <m:sty m:val="p"/>
                </m:rPr>
                <w:rPr>
                  <w:rFonts w:hint="default" w:ascii="Cambria Math" w:hAnsi="Cambria Math" w:cs="宋体"/>
                  <w:sz w:val="21"/>
                  <w:lang w:val="en-US" w:eastAsia="zh-CN"/>
                </w:rPr>
                <m:t>Q</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r>
            <m:rPr>
              <m:sty m:val="p"/>
            </m:rPr>
            <w:rPr>
              <w:rFonts w:ascii="Cambria Math" w:hAnsi="Cambria Math" w:cs="宋体"/>
              <w:sz w:val="21"/>
              <w:lang w:val="en-US"/>
            </w:rPr>
            <m:t>×</m:t>
          </m:r>
          <m:sSub>
            <m:sSubPr>
              <m:ctrlPr>
                <w:rPr>
                  <w:rFonts w:ascii="Cambria Math" w:hAnsi="Cambria Math" w:cs="宋体"/>
                  <w:sz w:val="21"/>
                  <w:lang w:val="en-US"/>
                </w:rPr>
              </m:ctrlPr>
            </m:sSubPr>
            <m:e>
              <m:r>
                <m:rPr>
                  <m:sty m:val="p"/>
                </m:rPr>
                <w:rPr>
                  <w:rFonts w:hint="default" w:ascii="Cambria Math" w:hAnsi="Cambria Math" w:cs="宋体"/>
                  <w:sz w:val="21"/>
                  <w:lang w:val="en-US" w:eastAsia="zh-CN"/>
                </w:rPr>
                <m:t>b</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r>
            <m:rPr>
              <m:sty m:val="p"/>
            </m:rPr>
            <w:rPr>
              <w:rFonts w:ascii="Cambria Math" w:hAnsi="Cambria Math" w:cs="宋体"/>
              <w:sz w:val="21"/>
              <w:lang w:val="en-US"/>
            </w:rPr>
            <m:t>×</m:t>
          </m:r>
          <m:sSup>
            <m:sSupPr>
              <m:ctrlPr>
                <w:rPr>
                  <w:rFonts w:ascii="Cambria Math" w:hAnsi="Cambria Math" w:cs="宋体"/>
                  <w:sz w:val="21"/>
                  <w:lang w:val="en-US"/>
                </w:rPr>
              </m:ctrlPr>
            </m:sSupPr>
            <m:e>
              <m:r>
                <m:rPr>
                  <m:sty m:val="p"/>
                </m:rPr>
                <w:rPr>
                  <w:rFonts w:hint="default" w:ascii="Cambria Math" w:hAnsi="Cambria Math" w:cs="宋体"/>
                  <w:sz w:val="21"/>
                  <w:lang w:val="en-US" w:eastAsia="zh-CN"/>
                </w:rPr>
                <m:t>10</m:t>
              </m:r>
              <m:ctrlPr>
                <w:rPr>
                  <w:rFonts w:ascii="Cambria Math" w:hAnsi="Cambria Math" w:cs="宋体"/>
                  <w:sz w:val="21"/>
                  <w:lang w:val="en-US"/>
                </w:rPr>
              </m:ctrlPr>
            </m:e>
            <m:sup>
              <m:r>
                <m:rPr>
                  <m:sty m:val="p"/>
                </m:rPr>
                <w:rPr>
                  <w:rFonts w:hint="default" w:ascii="Cambria Math" w:hAnsi="Cambria Math" w:cs="宋体"/>
                  <w:sz w:val="21"/>
                  <w:lang w:val="en-US" w:eastAsia="zh-CN"/>
                </w:rPr>
                <m:t>3</m:t>
              </m:r>
              <m:ctrlPr>
                <w:rPr>
                  <w:rFonts w:ascii="Cambria Math" w:hAnsi="Cambria Math" w:cs="宋体"/>
                  <w:sz w:val="21"/>
                  <w:lang w:val="en-US"/>
                </w:rPr>
              </m:ctrlPr>
            </m:sup>
          </m:sSup>
          <m:r>
            <m:rPr>
              <m:sty m:val="p"/>
            </m:rPr>
            <w:rPr>
              <w:rFonts w:ascii="Cambria Math" w:hAnsi="Cambria Math" w:cs="宋体"/>
              <w:sz w:val="21"/>
              <w:lang w:val="en-US"/>
            </w:rPr>
            <m:t>×</m:t>
          </m:r>
          <m:r>
            <m:rPr>
              <m:sty m:val="p"/>
            </m:rPr>
            <w:rPr>
              <w:rFonts w:hint="default" w:ascii="Cambria Math" w:hAnsi="Cambria Math" w:cs="宋体"/>
              <w:sz w:val="21"/>
              <w:lang w:val="en-US" w:eastAsia="zh-CN"/>
            </w:rPr>
            <m:t>2.21</m:t>
          </m:r>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int="eastAsia" w:hAnsi="宋体" w:cs="宋体"/>
        </w:rPr>
      </w:pPr>
      <m:oMath>
        <m:sSub>
          <m:sSubPr>
            <m:ctrlPr>
              <w:rPr>
                <w:rFonts w:hint="eastAsia" w:ascii="Cambria Math" w:hAnsi="Cambria Math" w:cs="宋体"/>
                <w:i w:val="0"/>
                <w:lang w:val="en-US" w:eastAsia="zh-CN"/>
              </w:rPr>
            </m:ctrlPr>
          </m:sSubPr>
          <m:e>
            <m:r>
              <m:rPr>
                <m:sty m:val="p"/>
              </m:rPr>
              <w:rPr>
                <w:rFonts w:hint="eastAsia" w:ascii="Cambria Math" w:hAnsi="Cambria Math" w:cs="宋体"/>
                <w:lang w:val="en-US" w:eastAsia="zh-CN"/>
              </w:rPr>
              <m:t>Q</m:t>
            </m:r>
            <m:ctrlPr>
              <w:rPr>
                <w:rFonts w:hint="eastAsia" w:ascii="Cambria Math" w:hAnsi="Cambria Math" w:cs="宋体"/>
                <w:i w:val="0"/>
                <w:lang w:val="en-US" w:eastAsia="zh-CN"/>
              </w:rPr>
            </m:ctrlPr>
          </m:e>
          <m:sub>
            <m:sSub>
              <m:sSubPr>
                <m:ctrlPr>
                  <w:rPr>
                    <w:rFonts w:hint="eastAsia" w:ascii="Cambria Math" w:hAnsi="Cambria Math" w:cs="宋体"/>
                    <w:i w:val="0"/>
                    <w:lang w:val="en-US" w:eastAsia="zh-CN"/>
                  </w:rPr>
                </m:ctrlPr>
              </m:sSubPr>
              <m:e>
                <m:r>
                  <m:rPr>
                    <m:sty m:val="p"/>
                  </m:rPr>
                  <w:rPr>
                    <w:rFonts w:hint="eastAsia" w:ascii="Cambria Math" w:hAnsi="Cambria Math" w:cs="宋体"/>
                    <w:lang w:val="en-US" w:eastAsia="zh-CN"/>
                  </w:rPr>
                  <m:t>CO</m:t>
                </m:r>
                <m:ctrlPr>
                  <w:rPr>
                    <w:rFonts w:hint="eastAsia" w:ascii="Cambria Math" w:hAnsi="Cambria Math" w:cs="宋体"/>
                    <w:i w:val="0"/>
                    <w:lang w:val="en-US" w:eastAsia="zh-CN"/>
                  </w:rPr>
                </m:ctrlPr>
              </m:e>
              <m:sub>
                <m:r>
                  <m:rPr>
                    <m:sty m:val="p"/>
                  </m:rPr>
                  <w:rPr>
                    <w:rFonts w:hint="eastAsia" w:ascii="Cambria Math" w:hAnsi="Cambria Math" w:cs="宋体"/>
                    <w:lang w:val="en-US" w:eastAsia="zh-CN"/>
                  </w:rPr>
                  <m:t>2</m:t>
                </m:r>
                <m:ctrlPr>
                  <w:rPr>
                    <w:rFonts w:hint="eastAsia" w:ascii="Cambria Math" w:hAnsi="Cambria Math" w:cs="宋体"/>
                    <w:i w:val="0"/>
                    <w:lang w:val="en-US" w:eastAsia="zh-CN"/>
                  </w:rPr>
                </m:ctrlPr>
              </m:sub>
            </m:sSub>
            <m:r>
              <m:rPr>
                <m:sty m:val="p"/>
              </m:rPr>
              <w:rPr>
                <w:rFonts w:hint="eastAsia" w:ascii="Cambria Math" w:hAnsi="Cambria Math" w:cs="宋体"/>
                <w:lang w:val="en-US" w:eastAsia="zh-CN"/>
              </w:rPr>
              <m:t>e</m:t>
            </m:r>
            <m:ctrlPr>
              <w:rPr>
                <w:rFonts w:hint="eastAsia" w:ascii="Cambria Math" w:hAnsi="Cambria Math" w:cs="宋体"/>
                <w:i w:val="0"/>
                <w:lang w:val="en-US" w:eastAsia="zh-CN"/>
              </w:rPr>
            </m:ctrlPr>
          </m:sub>
        </m:sSub>
      </m:oMath>
      <w:r>
        <w:rPr>
          <w:rFonts w:hint="eastAsia" w:hAnsi="宋体" w:cs="宋体"/>
        </w:rPr>
        <w:t>——</w:t>
      </w:r>
      <w:r>
        <w:rPr>
          <w:rFonts w:hint="eastAsia" w:hAnsi="宋体" w:cs="宋体"/>
          <w:lang w:val="en-US" w:eastAsia="zh-CN"/>
        </w:rPr>
        <w:t>碳减排总量，吨标煤/年</w:t>
      </w:r>
      <w:r>
        <w:rPr>
          <w:rFonts w:hint="eastAsia" w:hAnsi="宋体" w:cs="宋体"/>
        </w:rPr>
        <w:t>；</w:t>
      </w:r>
    </w:p>
    <w:p>
      <w:pPr>
        <w:ind w:firstLine="422" w:firstLineChars="201"/>
        <w:rPr>
          <w:rFonts w:hint="eastAsia" w:ascii="宋体" w:hAnsi="宋体" w:eastAsia="宋体" w:cs="宋体"/>
          <w:szCs w:val="24"/>
        </w:rPr>
      </w:pPr>
      <m:oMath>
        <m:sSub>
          <m:sSubPr>
            <m:ctrlPr>
              <w:rPr>
                <w:rFonts w:hint="default" w:ascii="Cambria Math" w:hAnsi="Cambria Math" w:cs="宋体"/>
                <w:i w:val="0"/>
                <w:sz w:val="21"/>
              </w:rPr>
            </m:ctrlPr>
          </m:sSubPr>
          <m:e>
            <m:r>
              <m:rPr>
                <m:sty m:val="p"/>
              </m:rPr>
              <w:rPr>
                <w:rFonts w:hint="default" w:ascii="Cambria Math" w:hAnsi="Cambria Math" w:cs="宋体"/>
                <w:sz w:val="21"/>
                <w:lang w:val="en-US" w:eastAsia="zh-CN"/>
              </w:rPr>
              <m:t>W</m:t>
            </m:r>
            <m:ctrlPr>
              <w:rPr>
                <w:rFonts w:hint="default" w:ascii="Cambria Math" w:hAnsi="Cambria Math" w:cs="宋体"/>
                <w:i w:val="0"/>
                <w:sz w:val="21"/>
              </w:rPr>
            </m:ctrlPr>
          </m:e>
          <m:sub>
            <m:r>
              <m:rPr>
                <m:sty m:val="p"/>
              </m:rPr>
              <w:rPr>
                <w:rFonts w:hint="default" w:ascii="Cambria Math" w:hAnsi="Cambria Math" w:cs="宋体"/>
                <w:sz w:val="21"/>
                <w:lang w:val="en-US" w:eastAsia="zh-CN"/>
              </w:rPr>
              <m:t>g</m:t>
            </m:r>
            <m:ctrlPr>
              <w:rPr>
                <w:rFonts w:hint="default" w:ascii="Cambria Math" w:hAnsi="Cambria Math" w:cs="宋体"/>
                <w:i w:val="0"/>
                <w:sz w:val="21"/>
              </w:rPr>
            </m:ctrlPr>
          </m:sub>
        </m:sSub>
        <m:r>
          <m:rPr/>
          <w:rPr>
            <w:rFonts w:hint="eastAsia" w:ascii="宋体" w:hAnsi="宋体" w:eastAsia="宋体" w:cs="宋体"/>
            <w:szCs w:val="24"/>
          </w:rPr>
          <m:t>−−</m:t>
        </m:r>
      </m:oMath>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ascii="宋体" w:hAnsi="宋体" w:eastAsia="宋体" w:cs="宋体"/>
          <w:szCs w:val="24"/>
        </w:rPr>
        <w:t>，单位：兆瓦时；</w:t>
      </w:r>
    </w:p>
    <w:p>
      <w:pPr>
        <w:spacing w:line="240" w:lineRule="auto"/>
        <w:ind w:firstLine="422" w:firstLineChars="201"/>
        <w:rPr>
          <w:rFonts w:hint="eastAsia" w:ascii="宋体" w:hAnsi="宋体" w:eastAsia="宋体" w:cs="宋体"/>
          <w:szCs w:val="24"/>
        </w:rPr>
      </w:pPr>
      <m:oMath>
        <m:sSub>
          <m:sSubPr>
            <m:ctrlPr>
              <w:rPr>
                <w:rFonts w:ascii="Cambria Math" w:hAnsi="Cambria Math" w:cs="宋体"/>
                <w:i/>
                <w:sz w:val="21"/>
                <w:lang w:val="en-US"/>
              </w:rPr>
            </m:ctrlPr>
          </m:sSubPr>
          <m:e>
            <m:r>
              <m:rPr/>
              <w:rPr>
                <w:rFonts w:ascii="Cambria Math" w:hAnsi="Cambria Math" w:cs="宋体"/>
                <w:sz w:val="21"/>
                <w:lang w:val="en-US"/>
              </w:rPr>
              <m:t>α</m:t>
            </m:r>
            <m:ctrlPr>
              <w:rPr>
                <w:rFonts w:ascii="Cambria Math" w:hAnsi="Cambria Math" w:cs="宋体"/>
                <w:i/>
                <w:sz w:val="21"/>
                <w:lang w:val="en-US"/>
              </w:rPr>
            </m:ctrlPr>
          </m:e>
          <m:sub>
            <m:r>
              <m:rPr/>
              <w:rPr>
                <w:rFonts w:hint="default" w:ascii="Cambria Math" w:hAnsi="Cambria Math" w:cs="宋体"/>
                <w:sz w:val="21"/>
                <w:lang w:val="en-US" w:eastAsia="zh-CN"/>
              </w:rPr>
              <m:t>j</m:t>
            </m:r>
            <m:ctrlPr>
              <w:rPr>
                <w:rFonts w:ascii="Cambria Math" w:hAnsi="Cambria Math" w:cs="宋体"/>
                <w:sz w:val="21"/>
                <w:lang w:val="en-US"/>
              </w:rPr>
            </m:ctrlPr>
          </m:sub>
        </m:sSub>
      </m:oMath>
      <w:r>
        <w:rPr>
          <w:rFonts w:hint="eastAsia" w:ascii="宋体" w:hAnsi="宋体" w:eastAsia="宋体" w:cs="宋体"/>
          <w:szCs w:val="24"/>
        </w:rPr>
        <w:t>--可再生能源发电所在地区区域电网的二氧化碳基准线排放因子。单位：吨二氧化碳/兆瓦时；根据UNFCCC《电力系统排放因子计算工具(5.0版)》，对于光伏</w:t>
      </w:r>
      <m:oMath>
        <m:sSub>
          <m:sSubPr>
            <m:ctrlPr>
              <w:rPr>
                <w:rFonts w:ascii="Cambria Math" w:hAnsi="Cambria Math" w:cs="宋体"/>
                <w:i/>
                <w:sz w:val="21"/>
                <w:lang w:val="en-US"/>
              </w:rPr>
            </m:ctrlPr>
          </m:sSubPr>
          <m:e>
            <m:r>
              <m:rPr/>
              <w:rPr>
                <w:rFonts w:ascii="Cambria Math" w:hAnsi="Cambria Math" w:cs="宋体"/>
                <w:sz w:val="21"/>
                <w:lang w:val="en-US"/>
              </w:rPr>
              <m:t>α</m:t>
            </m:r>
            <m:ctrlPr>
              <w:rPr>
                <w:rFonts w:ascii="Cambria Math" w:hAnsi="Cambria Math" w:cs="宋体"/>
                <w:i/>
                <w:sz w:val="21"/>
                <w:lang w:val="en-US"/>
              </w:rPr>
            </m:ctrlPr>
          </m:e>
          <m:sub>
            <m:r>
              <m:rPr/>
              <w:rPr>
                <w:rFonts w:hint="default" w:ascii="Cambria Math" w:hAnsi="Cambria Math" w:cs="宋体"/>
                <w:sz w:val="21"/>
                <w:lang w:val="en-US" w:eastAsia="zh-CN"/>
              </w:rPr>
              <m:t>j</m:t>
            </m:r>
            <m:ctrlPr>
              <w:rPr>
                <w:rFonts w:ascii="Cambria Math" w:hAnsi="Cambria Math" w:cs="宋体"/>
                <w:sz w:val="21"/>
                <w:lang w:val="en-US"/>
              </w:rPr>
            </m:ctrlPr>
          </m:sub>
        </m:sSub>
      </m:oMath>
      <w:r>
        <w:rPr>
          <w:rFonts w:hint="eastAsia" w:hAnsi="Cambria Math" w:cs="宋体"/>
          <w:i w:val="0"/>
          <w:sz w:val="21"/>
          <w:lang w:val="en-US" w:eastAsia="zh-CN"/>
        </w:rPr>
        <w:t>=</w:t>
      </w:r>
      <w:r>
        <w:rPr>
          <w:rFonts w:hint="eastAsia" w:ascii="宋体" w:hAnsi="宋体" w:eastAsia="宋体" w:cs="宋体"/>
          <w:szCs w:val="24"/>
        </w:rPr>
        <w:t>75%</w:t>
      </w:r>
      <w:r>
        <w:rPr>
          <w:rFonts w:hint="eastAsia" w:ascii="宋体" w:hAnsi="宋体" w:cs="宋体"/>
          <w:bCs w:val="0"/>
          <w:sz w:val="21"/>
        </w:rPr>
        <w:t>×</w:t>
      </w:r>
      <w:r>
        <w:rPr>
          <w:rFonts w:hint="eastAsia" w:ascii="宋体" w:hAnsi="宋体" w:eastAsia="宋体" w:cs="宋体"/>
          <w:szCs w:val="24"/>
        </w:rPr>
        <w:t>E</w:t>
      </w:r>
      <w:r>
        <w:rPr>
          <w:rFonts w:hint="eastAsia" w:ascii="宋体" w:hAnsi="宋体" w:eastAsia="宋体" w:cs="宋体"/>
          <w:szCs w:val="24"/>
          <w:vertAlign w:val="baseline"/>
        </w:rPr>
        <w:t>Fgrid,OM,y</w:t>
      </w:r>
      <w:r>
        <w:rPr>
          <w:rFonts w:hint="eastAsia" w:ascii="宋体" w:hAnsi="宋体" w:eastAsia="宋体" w:cs="宋体"/>
          <w:szCs w:val="24"/>
        </w:rPr>
        <w:t>+25%</w:t>
      </w:r>
      <w:r>
        <w:rPr>
          <w:rFonts w:hint="eastAsia" w:ascii="宋体" w:hAnsi="宋体" w:cs="宋体"/>
          <w:bCs w:val="0"/>
          <w:sz w:val="21"/>
        </w:rPr>
        <w:t>×</w:t>
      </w:r>
      <w:r>
        <w:rPr>
          <w:rFonts w:hint="eastAsia" w:ascii="宋体" w:hAnsi="宋体" w:eastAsia="宋体" w:cs="宋体"/>
          <w:szCs w:val="24"/>
        </w:rPr>
        <w:t>EF</w:t>
      </w:r>
      <w:r>
        <w:rPr>
          <w:rFonts w:hint="eastAsia" w:ascii="宋体" w:hAnsi="宋体" w:eastAsia="宋体" w:cs="宋体"/>
          <w:szCs w:val="24"/>
          <w:vertAlign w:val="baseline"/>
        </w:rPr>
        <w:t>grid,BM,y;</w:t>
      </w:r>
      <w:r>
        <w:rPr>
          <w:rFonts w:hint="eastAsia" w:ascii="宋体" w:hAnsi="宋体" w:eastAsia="宋体" w:cs="宋体"/>
          <w:szCs w:val="24"/>
          <w:lang w:eastAsia="zh-CN"/>
        </w:rPr>
        <w:t>区域可再生能源发电参照</w:t>
      </w:r>
      <w:r>
        <w:rPr>
          <w:rFonts w:hint="eastAsia" w:ascii="宋体" w:hAnsi="宋体" w:cs="宋体"/>
          <w:szCs w:val="24"/>
          <w:lang w:eastAsia="zh-CN"/>
        </w:rPr>
        <w:t>最新版</w:t>
      </w:r>
      <w:r>
        <w:rPr>
          <w:rFonts w:hint="eastAsia" w:ascii="宋体" w:hAnsi="宋体" w:eastAsia="宋体" w:cs="宋体"/>
          <w:szCs w:val="24"/>
          <w:lang w:eastAsia="zh-CN"/>
        </w:rPr>
        <w:t>《</w:t>
      </w:r>
      <w:r>
        <w:rPr>
          <w:rFonts w:hint="eastAsia" w:ascii="宋体" w:hAnsi="宋体" w:eastAsia="宋体" w:cs="宋体"/>
          <w:szCs w:val="24"/>
        </w:rPr>
        <w:t>中国区域电网基准线排放因子</w:t>
      </w:r>
      <w:r>
        <w:rPr>
          <w:rFonts w:hint="eastAsia" w:ascii="宋体" w:hAnsi="宋体" w:eastAsia="宋体" w:cs="宋体"/>
          <w:szCs w:val="24"/>
          <w:lang w:eastAsia="zh-CN"/>
        </w:rPr>
        <w:t>》</w:t>
      </w:r>
      <w:r>
        <w:rPr>
          <w:rFonts w:hint="eastAsia" w:ascii="宋体" w:hAnsi="宋体" w:eastAsia="宋体" w:cs="宋体"/>
          <w:position w:val="0"/>
          <w:szCs w:val="24"/>
        </w:rPr>
        <w:t>；</w:t>
      </w:r>
    </w:p>
    <w:p>
      <w:pPr>
        <w:spacing w:line="240" w:lineRule="auto"/>
        <w:ind w:firstLine="422" w:firstLineChars="201"/>
        <w:rPr>
          <w:rFonts w:hint="eastAsia" w:ascii="宋体" w:hAnsi="宋体" w:eastAsia="宋体" w:cs="宋体"/>
          <w:szCs w:val="24"/>
        </w:rPr>
      </w:pP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default" w:ascii="Cambria Math" w:hAnsi="Cambria Math" w:cs="宋体"/>
                <w:sz w:val="21"/>
                <w:lang w:val="en-US" w:eastAsia="zh-CN"/>
              </w:rPr>
              <m:t>g</m:t>
            </m:r>
            <m:ctrlPr>
              <w:rPr>
                <w:rFonts w:hint="eastAsia" w:ascii="Cambria Math" w:hAnsi="Cambria Math" w:cs="宋体"/>
                <w:sz w:val="21"/>
                <w:lang w:val="en-US"/>
              </w:rPr>
            </m:ctrlPr>
          </m:sub>
        </m:sSub>
      </m:oMath>
      <w:r>
        <w:rPr>
          <w:rFonts w:hint="eastAsia" w:ascii="宋体" w:hAnsi="宋体" w:eastAsia="宋体" w:cs="宋体"/>
          <w:szCs w:val="24"/>
        </w:rPr>
        <w:t>--项目年供热量，单位：百万吉焦；若只发电不供热，则</w:t>
      </w: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default" w:ascii="Cambria Math" w:hAnsi="Cambria Math" w:cs="宋体"/>
                <w:sz w:val="21"/>
                <w:lang w:val="en-US" w:eastAsia="zh-CN"/>
              </w:rPr>
              <m:t>g</m:t>
            </m:r>
            <m:ctrlPr>
              <w:rPr>
                <w:rFonts w:hint="eastAsia" w:ascii="Cambria Math" w:hAnsi="Cambria Math" w:cs="宋体"/>
                <w:sz w:val="21"/>
                <w:lang w:val="en-US"/>
              </w:rPr>
            </m:ctrlPr>
          </m:sub>
        </m:sSub>
      </m:oMath>
      <w:r>
        <w:rPr>
          <w:rFonts w:hint="eastAsia" w:ascii="宋体" w:hAnsi="宋体" w:eastAsia="宋体" w:cs="宋体"/>
          <w:szCs w:val="24"/>
        </w:rPr>
        <w:t>值为零；</w:t>
      </w:r>
    </w:p>
    <w:p>
      <w:pPr>
        <w:tabs>
          <w:tab w:val="center" w:pos="4201"/>
          <w:tab w:val="right" w:leader="dot" w:pos="9298"/>
        </w:tabs>
        <w:spacing w:line="240" w:lineRule="auto"/>
        <w:ind w:firstLine="422" w:firstLineChars="201"/>
        <w:rPr>
          <w:rFonts w:hint="default" w:hAnsi="宋体" w:cs="宋体"/>
          <w:highlight w:val="none"/>
          <w:lang w:val="en-US" w:eastAsia="zh-CN"/>
        </w:rPr>
      </w:pPr>
      <m:oMath>
        <m:sSub>
          <m:sSubPr>
            <m:ctrlPr>
              <w:rPr>
                <w:rFonts w:ascii="Cambria Math" w:hAnsi="Cambria Math" w:cs="宋体"/>
                <w:sz w:val="21"/>
                <w:lang w:val="en-US"/>
              </w:rPr>
            </m:ctrlPr>
          </m:sSubPr>
          <m:e>
            <m:r>
              <m:rPr>
                <m:sty m:val="p"/>
              </m:rPr>
              <w:rPr>
                <w:rFonts w:hint="default" w:ascii="Cambria Math" w:hAnsi="Cambria Math" w:cs="宋体"/>
                <w:sz w:val="21"/>
                <w:lang w:val="en-US" w:eastAsia="zh-CN"/>
              </w:rPr>
              <m:t>b</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oMath>
      <w:r>
        <w:rPr>
          <w:rFonts w:hint="eastAsia" w:ascii="宋体" w:hAnsi="宋体" w:eastAsia="宋体" w:cs="宋体"/>
          <w:szCs w:val="24"/>
        </w:rPr>
        <w:t>--全国集中供热锅炉房平均供热煤耗，单位：千克标煤/吉焦。缺省值取40千克标煤/吉焦。</w:t>
      </w:r>
    </w:p>
    <w:p>
      <w:pPr>
        <w:pStyle w:val="57"/>
        <w:tabs>
          <w:tab w:val="left" w:pos="489"/>
        </w:tabs>
        <w:spacing w:before="156" w:after="156"/>
        <w:rPr>
          <w:rFonts w:ascii="Times New Roman"/>
        </w:rPr>
      </w:pPr>
      <w:r>
        <w:rPr>
          <w:rFonts w:hint="eastAsia" w:ascii="Times New Roman"/>
          <w:lang w:val="en-US" w:eastAsia="zh-CN"/>
        </w:rPr>
        <w:t>减污效益</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二氧化硫削减量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指提供的绿色业务领域相关产品或服务，在采购方应用过程中，因替代化石能源消耗，折算产生的二氧化硫减少量。计算公式如下：</w:t>
      </w:r>
    </w:p>
    <w:p>
      <w:pPr>
        <w:pStyle w:val="129"/>
        <w:jc w:val="center"/>
        <w:rPr>
          <w:rFonts w:hint="default" w:ascii="Times New Roman" w:hAnsi="Times New Roman" w:cs="Times New Roman"/>
          <w:b/>
          <w:bCs/>
        </w:rPr>
      </w:pPr>
      <m:oMath>
        <m:sSub>
          <m:sSubPr>
            <m:ctrlPr>
              <w:rPr>
                <w:rFonts w:hint="default" w:ascii="Cambria Math" w:hAnsi="Cambria Math" w:cs="Times New Roman"/>
                <w:i/>
              </w:rPr>
            </m:ctrlPr>
          </m:sSubPr>
          <m:e>
            <m:r>
              <m:rPr/>
              <w:rPr>
                <w:rFonts w:hint="default" w:ascii="Cambria Math" w:hAnsi="Cambria Math" w:cs="Times New Roman"/>
                <w:lang w:val="en-US" w:eastAsia="zh-CN"/>
              </w:rPr>
              <m:t>M</m:t>
            </m:r>
            <m:ctrlPr>
              <w:rPr>
                <w:rFonts w:hint="default" w:ascii="Cambria Math" w:hAnsi="Cambria Math" w:cs="Times New Roman"/>
                <w:i/>
              </w:rPr>
            </m:ctrlPr>
          </m:e>
          <m:sub>
            <m:sSub>
              <m:sSubPr>
                <m:ctrlPr>
                  <w:rPr>
                    <w:rFonts w:hint="default" w:ascii="Cambria Math" w:hAnsi="Cambria Math" w:cs="Times New Roman"/>
                    <w:i/>
                  </w:rPr>
                </m:ctrlPr>
              </m:sSubPr>
              <m:e>
                <m:r>
                  <m:rPr/>
                  <w:rPr>
                    <w:rFonts w:hint="default" w:ascii="Cambria Math" w:hAnsi="Cambria Math" w:cs="Times New Roman"/>
                    <w:lang w:val="en-US" w:eastAsia="zh-CN"/>
                  </w:rPr>
                  <m:t>SO</m:t>
                </m:r>
                <m:ctrlPr>
                  <w:rPr>
                    <w:rFonts w:hint="default" w:ascii="Cambria Math" w:hAnsi="Cambria Math" w:cs="Times New Roman"/>
                    <w:i/>
                  </w:rPr>
                </m:ctrlPr>
              </m:e>
              <m:sub>
                <m:r>
                  <m:rPr/>
                  <w:rPr>
                    <w:rFonts w:hint="default" w:ascii="Cambria Math" w:hAnsi="Cambria Math" w:cs="Times New Roman"/>
                    <w:lang w:val="en-US" w:eastAsia="zh-CN"/>
                  </w:rPr>
                  <m:t>2</m:t>
                </m:r>
                <m:ctrlPr>
                  <w:rPr>
                    <w:rFonts w:hint="default" w:ascii="Cambria Math" w:hAnsi="Cambria Math" w:cs="Times New Roman"/>
                    <w:i/>
                  </w:rPr>
                </m:ctrlPr>
              </m:sub>
            </m:sSub>
            <m:ctrlPr>
              <w:rPr>
                <w:rFonts w:hint="default" w:ascii="Cambria Math" w:hAnsi="Cambria Math" w:cs="Times New Roman"/>
                <w:i/>
              </w:rPr>
            </m:ctrlPr>
          </m:sub>
        </m:sSub>
        <m:r>
          <m:rPr/>
          <w:rPr>
            <w:rFonts w:hint="default" w:ascii="Cambria Math" w:hAnsi="Cambria Math" w:cs="Times New Roman"/>
          </w:rPr>
          <m:t>=</m:t>
        </m:r>
        <m:f>
          <m:fPr>
            <m:ctrlPr>
              <w:rPr>
                <w:rFonts w:hint="default" w:ascii="Cambria Math" w:hAnsi="Cambria Math" w:cs="Times New Roman"/>
                <w:i/>
              </w:rPr>
            </m:ctrlPr>
          </m:fPr>
          <m:num>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ctrlPr>
              <w:rPr>
                <w:rFonts w:hint="default"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β</m:t>
                </m:r>
                <m:ctrlPr>
                  <w:rPr>
                    <w:rFonts w:ascii="Cambria Math" w:hAnsi="Cambria Math" w:cs="Times New Roman"/>
                    <w:i/>
                  </w:rPr>
                </m:ctrlPr>
              </m:e>
              <m:sub>
                <m:r>
                  <m:rPr/>
                  <w:rPr>
                    <w:rFonts w:hint="default" w:ascii="Cambria Math" w:hAnsi="Cambria Math" w:cs="Times New Roman"/>
                    <w:lang w:val="en-US" w:eastAsia="zh-CN"/>
                  </w:rPr>
                  <m:t>k</m:t>
                </m:r>
                <m:ctrlPr>
                  <w:rPr>
                    <w:rFonts w:ascii="Cambria Math" w:hAnsi="Cambria Math" w:cs="Times New Roman"/>
                    <w:i/>
                  </w:rPr>
                </m:ctrlPr>
              </m:sub>
            </m:sSub>
            <m:ctrlPr>
              <w:rPr>
                <w:rFonts w:hint="default" w:ascii="Cambria Math" w:hAnsi="Cambria Math" w:cs="Times New Roman"/>
                <w:i/>
              </w:rPr>
            </m:ctrlPr>
          </m:den>
        </m:f>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sSub>
          <m:sSubPr>
            <m:ctrlPr>
              <w:rPr>
                <w:rFonts w:ascii="Cambria Math" w:hAnsi="Cambria Math" w:cs="Times New Roman"/>
                <w:i/>
                <w:lang w:val="en-US"/>
              </w:rPr>
            </m:ctrlPr>
          </m:sSubPr>
          <m:e>
            <m:r>
              <m:rPr/>
              <w:rPr>
                <w:rFonts w:hint="default" w:ascii="Cambria Math" w:hAnsi="Cambria Math" w:cs="Times New Roman"/>
                <w:lang w:val="en-US"/>
              </w:rPr>
              <m:t>ω</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α</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oMath>
      <w:r>
        <w:rPr>
          <w:rFonts w:hint="default" w:ascii="Times New Roman" w:hAnsi="Times New Roman" w:cs="Times New Roman"/>
          <w:i w:val="0"/>
          <w:lang w:val="en-US" w:eastAsia="zh-CN"/>
        </w:rPr>
        <w:t>10</w:t>
      </w:r>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highlight w:val="none"/>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S</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eastAsia" w:ascii="Cambria Math" w:hAnsi="Cambria Math" w:cs="宋体"/>
                    <w:lang w:val="en-US" w:eastAsia="zh-CN"/>
                  </w:rPr>
                  <m:t>2</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highlight w:val="none"/>
        </w:rPr>
        <w:t>—</w:t>
      </w:r>
      <w:r>
        <w:rPr>
          <w:rFonts w:hint="eastAsia" w:hAnsi="宋体" w:cs="宋体"/>
          <w:highlight w:val="none"/>
          <w:lang w:val="en-US" w:eastAsia="zh-CN"/>
        </w:rPr>
        <w:t>二氧化硫削减总量，吨/年</w:t>
      </w:r>
      <w:r>
        <w:rPr>
          <w:rFonts w:hint="eastAsia" w:hAnsi="宋体" w:cs="宋体"/>
          <w:highlight w:val="none"/>
        </w:rPr>
        <w:t>；</w:t>
      </w:r>
    </w:p>
    <w:p>
      <w:pPr>
        <w:pStyle w:val="129"/>
        <w:ind w:firstLine="420" w:firstLineChars="200"/>
        <w:rPr>
          <w:rFonts w:hAnsi="宋体" w:cs="宋体"/>
          <w:highlight w:val="none"/>
        </w:rPr>
      </w:pPr>
      <m:oMath>
        <m:sSub>
          <m:sSubPr>
            <m:ctrlPr>
              <w:rPr>
                <w:rFonts w:hint="eastAsia" w:ascii="Cambria Math" w:hAnsi="Cambria Math" w:cs="宋体"/>
                <w:i/>
              </w:rPr>
            </m:ctrlPr>
          </m:sSubPr>
          <m:e>
            <m:r>
              <m:rPr/>
              <w:rPr>
                <w:rFonts w:hint="default" w:ascii="Cambria Math" w:hAnsi="Cambria Math" w:cs="宋体"/>
                <w:lang w:val="en-US" w:eastAsia="zh-CN"/>
              </w:rPr>
              <m:t>W</m:t>
            </m:r>
            <m:ctrlPr>
              <w:rPr>
                <w:rFonts w:hint="eastAsia" w:ascii="Cambria Math" w:hAnsi="Cambria Math" w:cs="宋体"/>
                <w:i/>
              </w:rPr>
            </m:ctrlPr>
          </m:e>
          <m:sub>
            <m:r>
              <m:rPr/>
              <w:rPr>
                <w:rFonts w:hint="default" w:ascii="Cambria Math" w:hAnsi="Cambria Math" w:cs="宋体"/>
                <w:lang w:val="en-US" w:eastAsia="zh-CN"/>
              </w:rPr>
              <m:t>g</m:t>
            </m:r>
            <m:ctrlPr>
              <w:rPr>
                <w:rFonts w:hint="eastAsia" w:ascii="Cambria Math" w:hAnsi="Cambria Math" w:cs="宋体"/>
                <w:i/>
              </w:rPr>
            </m:ctrlPr>
          </m:sub>
        </m:sSub>
      </m:oMath>
      <w:r>
        <w:rPr>
          <w:rFonts w:hint="eastAsia" w:hAnsi="宋体" w:cs="宋体"/>
          <w:highlight w:val="none"/>
        </w:rPr>
        <w:t>——</w:t>
      </w:r>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hAnsi="宋体" w:cs="宋体"/>
          <w:highlight w:val="none"/>
        </w:rPr>
        <w:t>，单位：万千瓦时；</w:t>
      </w:r>
    </w:p>
    <w:p>
      <w:pPr>
        <w:pStyle w:val="129"/>
        <w:ind w:firstLine="420" w:firstLineChars="200"/>
        <w:rPr>
          <w:rFonts w:hint="eastAsia" w:ascii="宋体" w:hAnsi="Cambria Math" w:eastAsia="宋体" w:cs="宋体"/>
          <w:szCs w:val="20"/>
          <w:highlight w:val="none"/>
          <w:lang w:val="en-US" w:eastAsia="zh-CN"/>
        </w:rPr>
      </w:pPr>
      <m:oMath>
        <m:sSub>
          <m:sSubPr>
            <m:ctrlPr>
              <w:rPr>
                <w:rFonts w:ascii="Cambria Math" w:hAnsi="Cambria Math" w:cs="宋体"/>
                <w:i/>
              </w:rPr>
            </m:ctrlPr>
          </m:sSubPr>
          <m:e>
            <m:r>
              <m:rPr/>
              <w:rPr>
                <w:rFonts w:ascii="Cambria Math" w:hAnsi="Cambria Math" w:cs="宋体"/>
              </w:rPr>
              <m:t>β</m:t>
            </m:r>
            <m:ctrlPr>
              <w:rPr>
                <w:rFonts w:ascii="Cambria Math" w:hAnsi="Cambria Math" w:cs="宋体"/>
                <w:i/>
              </w:rPr>
            </m:ctrlPr>
          </m:e>
          <m:sub>
            <m:r>
              <m:rPr/>
              <w:rPr>
                <w:rFonts w:hint="default" w:ascii="Cambria Math" w:hAnsi="Cambria Math" w:cs="宋体"/>
                <w:lang w:val="en-US" w:eastAsia="zh-CN"/>
              </w:rPr>
              <m:t>k</m:t>
            </m:r>
            <m:ctrlPr>
              <w:rPr>
                <w:rFonts w:ascii="Cambria Math" w:hAnsi="Cambria Math" w:cs="宋体"/>
                <w:i/>
              </w:rPr>
            </m:ctrlPr>
          </m:sub>
        </m:sSub>
      </m:oMath>
      <w:r>
        <w:rPr>
          <w:rFonts w:hint="eastAsia" w:hAnsi="Cambria Math" w:cs="宋体"/>
          <w:i w:val="0"/>
          <w:highlight w:val="none"/>
        </w:rPr>
        <w:t>——</w:t>
      </w:r>
      <w:r>
        <w:rPr>
          <w:rFonts w:hint="eastAsia" w:hAnsi="Cambria Math" w:cs="宋体"/>
          <w:lang w:val="en-US" w:eastAsia="zh-CN"/>
        </w:rPr>
        <w:t>清洁能源、建筑可再生能源应用</w:t>
      </w:r>
      <w:r>
        <w:rPr>
          <w:rFonts w:hint="eastAsia" w:hAnsi="Cambria Math" w:cs="宋体"/>
          <w:i w:val="0"/>
          <w:highlight w:val="none"/>
        </w:rPr>
        <w:t>年度全国平均火电供电煤耗，单位为：千克/千瓦时；该数值取环境效益测算年度的上一年度全国平均火电供电煤耗度数据</w:t>
      </w:r>
      <w:r>
        <w:rPr>
          <w:rFonts w:hint="eastAsia" w:hAnsi="Cambria Math" w:cs="宋体"/>
          <w:i w:val="0"/>
          <w:highlight w:val="none"/>
          <w:lang w:eastAsia="zh-CN"/>
        </w:rPr>
        <w:t>；</w:t>
      </w:r>
    </w:p>
    <w:p>
      <w:pPr>
        <w:pStyle w:val="129"/>
        <w:spacing w:line="360" w:lineRule="auto"/>
        <w:ind w:firstLine="420" w:firstLineChars="200"/>
        <w:rPr>
          <w:rFonts w:hint="eastAsia" w:ascii="宋体" w:hAnsi="Cambria Math" w:eastAsia="宋体" w:cs="宋体"/>
          <w:szCs w:val="20"/>
          <w:highlight w:val="none"/>
        </w:rPr>
      </w:pPr>
      <m:oMath>
        <m:sSub>
          <m:sSubPr>
            <m:ctrlPr>
              <w:rPr>
                <w:rFonts w:hint="eastAsia" w:ascii="Cambria Math" w:hAnsi="Cambria Math" w:cs="宋体"/>
                <w:i w:val="0"/>
                <w:highlight w:val="none"/>
                <w:lang w:val="en-US"/>
              </w:rPr>
            </m:ctrlPr>
          </m:sSubPr>
          <m:e>
            <m:r>
              <m:rPr>
                <m:sty m:val="p"/>
              </m:rPr>
              <w:rPr>
                <w:rFonts w:hint="eastAsia" w:ascii="Cambria Math" w:hAnsi="Cambria Math" w:cs="宋体"/>
                <w:highlight w:val="none"/>
                <w:lang w:val="en-US"/>
              </w:rPr>
              <m:t>β</m:t>
            </m:r>
            <m:ctrlPr>
              <w:rPr>
                <w:rFonts w:hint="eastAsia" w:ascii="Cambria Math" w:hAnsi="Cambria Math" w:cs="宋体"/>
                <w:i w:val="0"/>
                <w:highlight w:val="none"/>
                <w:lang w:val="en-US"/>
              </w:rPr>
            </m:ctrlPr>
          </m:e>
          <m:sub>
            <m:r>
              <m:rPr>
                <m:sty m:val="p"/>
              </m:rPr>
              <w:rPr>
                <w:rFonts w:hint="eastAsia" w:ascii="Cambria Math" w:hAnsi="Cambria Math" w:cs="宋体"/>
                <w:highlight w:val="none"/>
                <w:lang w:val="en-US" w:eastAsia="zh-CN"/>
              </w:rPr>
              <m:t>i</m:t>
            </m:r>
            <m:ctrlPr>
              <w:rPr>
                <w:rFonts w:hint="eastAsia" w:ascii="Cambria Math" w:hAnsi="Cambria Math" w:cs="宋体"/>
                <w:i w:val="0"/>
                <w:highlight w:val="none"/>
                <w:lang w:val="en-US"/>
              </w:rPr>
            </m:ctrlPr>
          </m:sub>
        </m:sSub>
      </m:oMath>
      <w:r>
        <w:rPr>
          <w:rFonts w:hint="eastAsia" w:ascii="宋体" w:hAnsi="Cambria Math" w:eastAsia="宋体" w:cs="宋体"/>
          <w:szCs w:val="20"/>
          <w:highlight w:val="none"/>
        </w:rPr>
        <w:t>--原煤折标准煤系数，单位：千克标煤/千克，缺省值取0.7143千克标煤/千克</w:t>
      </w:r>
      <w:r>
        <w:rPr>
          <w:rFonts w:hint="eastAsia" w:hAnsi="Cambria Math" w:cs="宋体"/>
          <w:szCs w:val="20"/>
          <w:highlight w:val="none"/>
          <w:lang w:eastAsia="zh-CN"/>
        </w:rPr>
        <w:t>；</w:t>
      </w:r>
    </w:p>
    <w:p>
      <w:pPr>
        <w:pStyle w:val="129"/>
        <w:ind w:firstLine="420" w:firstLineChars="200"/>
        <w:rPr>
          <w:rFonts w:hint="eastAsia" w:ascii="宋体" w:hAnsi="Cambria Math" w:eastAsia="宋体" w:cs="宋体"/>
          <w:szCs w:val="20"/>
          <w:highlight w:val="none"/>
        </w:rPr>
      </w:pPr>
      <m:oMath>
        <m:sSub>
          <m:sSubPr>
            <m:ctrlPr>
              <w:rPr>
                <w:rFonts w:ascii="Cambria Math" w:hAnsi="Cambria Math" w:cs="宋体"/>
                <w:i/>
                <w:lang w:val="en-US"/>
              </w:rPr>
            </m:ctrlPr>
          </m:sSubPr>
          <m:e>
            <m:r>
              <m:rPr/>
              <w:rPr>
                <w:rFonts w:hint="default" w:ascii="Cambria Math" w:hAnsi="Cambria Math" w:cs="Cambria Math"/>
                <w:lang w:val="en-US"/>
              </w:rPr>
              <m:t>ω</m:t>
            </m:r>
            <m:ctrlPr>
              <w:rPr>
                <w:rFonts w:ascii="Cambria Math" w:hAnsi="Cambria Math" w:cs="宋体"/>
                <w:i/>
                <w:lang w:val="en-US"/>
              </w:rPr>
            </m:ctrlPr>
          </m:e>
          <m:sub>
            <m:r>
              <m:rPr/>
              <w:rPr>
                <w:rFonts w:hint="default" w:ascii="Cambria Math" w:hAnsi="Cambria Math" w:cs="宋体"/>
                <w:lang w:val="en-US" w:eastAsia="zh-CN"/>
              </w:rPr>
              <m:t>i</m:t>
            </m:r>
            <m:ctrlPr>
              <w:rPr>
                <w:rFonts w:ascii="Cambria Math" w:hAnsi="Cambria Math" w:cs="宋体"/>
                <w:i/>
                <w:lang w:val="en-US"/>
              </w:rPr>
            </m:ctrlPr>
          </m:sub>
        </m:sSub>
      </m:oMath>
      <w:r>
        <w:rPr>
          <w:rFonts w:hint="eastAsia" w:ascii="宋体" w:hAnsi="Cambria Math" w:eastAsia="宋体" w:cs="宋体"/>
          <w:szCs w:val="20"/>
          <w:highlight w:val="none"/>
        </w:rPr>
        <w:t>--所在地煤炭平均硫分，单位：%；缺省值取1.2%</w:t>
      </w:r>
      <w:r>
        <w:rPr>
          <w:rFonts w:hint="eastAsia" w:hAnsi="Cambria Math" w:cs="宋体"/>
          <w:szCs w:val="20"/>
          <w:highlight w:val="none"/>
          <w:lang w:eastAsia="zh-CN"/>
        </w:rPr>
        <w:t>；</w:t>
      </w:r>
    </w:p>
    <w:p>
      <w:pPr>
        <w:pStyle w:val="129"/>
        <w:ind w:firstLine="420" w:firstLineChars="200"/>
        <w:rPr>
          <w:rFonts w:hint="eastAsia"/>
        </w:rPr>
      </w:pPr>
      <m:oMath>
        <m:sSub>
          <m:sSubPr>
            <m:ctrlPr>
              <w:rPr>
                <w:rFonts w:ascii="Cambria Math" w:hAnsi="Cambria Math" w:cs="宋体"/>
                <w:i/>
                <w:lang w:val="en-US"/>
              </w:rPr>
            </m:ctrlPr>
          </m:sSubPr>
          <m:e>
            <m:r>
              <m:rPr/>
              <w:rPr>
                <w:rFonts w:ascii="Cambria Math" w:hAnsi="Cambria Math" w:cs="宋体"/>
                <w:lang w:val="en-US"/>
              </w:rPr>
              <m:t>α</m:t>
            </m:r>
            <m:ctrlPr>
              <w:rPr>
                <w:rFonts w:ascii="Cambria Math" w:hAnsi="Cambria Math" w:cs="宋体"/>
                <w:i/>
                <w:lang w:val="en-US"/>
              </w:rPr>
            </m:ctrlPr>
          </m:e>
          <m:sub>
            <m:r>
              <m:rPr/>
              <w:rPr>
                <w:rFonts w:hint="default" w:ascii="Cambria Math" w:hAnsi="Cambria Math" w:cs="宋体"/>
                <w:lang w:val="en-US" w:eastAsia="zh-CN"/>
              </w:rPr>
              <m:t>i</m:t>
            </m:r>
            <m:ctrlPr>
              <w:rPr>
                <w:rFonts w:ascii="Cambria Math" w:hAnsi="Cambria Math" w:cs="宋体"/>
                <w:i/>
                <w:lang w:val="en-US"/>
              </w:rPr>
            </m:ctrlPr>
          </m:sub>
        </m:sSub>
      </m:oMath>
      <w:r>
        <w:rPr>
          <w:rFonts w:hint="eastAsia" w:hAnsi="Cambria Math" w:cs="宋体"/>
          <w:highlight w:val="none"/>
        </w:rPr>
        <w:fldChar w:fldCharType="begin"/>
      </w:r>
      <w:r>
        <w:rPr>
          <w:rFonts w:hint="eastAsia" w:hAnsi="Cambria Math" w:cs="宋体"/>
          <w:highlight w:val="none"/>
        </w:rPr>
        <w:fldChar w:fldCharType="separate"/>
      </w:r>
      <w:r>
        <w:rPr>
          <w:rFonts w:hint="eastAsia" w:ascii="宋体" w:hAnsi="Cambria Math" w:eastAsia="宋体" w:cs="宋体"/>
          <w:position w:val="0"/>
          <w:szCs w:val="20"/>
          <w:highlight w:val="none"/>
        </w:rPr>
        <w:drawing>
          <wp:inline distT="0" distB="0" distL="0" distR="0">
            <wp:extent cx="276225" cy="276225"/>
            <wp:effectExtent l="0" t="0" r="8890" b="6350"/>
            <wp:docPr id="205"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76225" cy="276225"/>
                    </a:xfrm>
                    <a:prstGeom prst="rect">
                      <a:avLst/>
                    </a:prstGeom>
                    <a:noFill/>
                    <a:ln>
                      <a:noFill/>
                    </a:ln>
                  </pic:spPr>
                </pic:pic>
              </a:graphicData>
            </a:graphic>
          </wp:inline>
        </w:drawing>
      </w:r>
      <w:r>
        <w:rPr>
          <w:rFonts w:hint="eastAsia" w:ascii="宋体" w:hAnsi="Cambria Math" w:eastAsia="宋体" w:cs="宋体"/>
          <w:position w:val="0"/>
          <w:szCs w:val="20"/>
          <w:highlight w:val="none"/>
        </w:rPr>
        <w:fldChar w:fldCharType="end"/>
      </w:r>
      <w:r>
        <w:rPr>
          <w:rFonts w:hint="eastAsia" w:ascii="宋体" w:hAnsi="Cambria Math" w:eastAsia="宋体" w:cs="宋体"/>
          <w:szCs w:val="20"/>
          <w:highlight w:val="none"/>
        </w:rPr>
        <w:t>--全国火电机组（燃煤）普查平均二氧化硫释放系数（产污系数），缺省值取1.7。</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氮氧化物削减量</w:t>
      </w:r>
    </w:p>
    <w:p>
      <w:pPr>
        <w:pStyle w:val="129"/>
        <w:ind w:firstLine="420" w:firstLineChars="200"/>
        <w:rPr>
          <w:rFonts w:hint="eastAsia" w:hAnsi="Cambria Math" w:cs="宋体"/>
          <w:i w:val="0"/>
        </w:rPr>
      </w:pPr>
      <w:r>
        <w:rPr>
          <w:rFonts w:hint="eastAsia" w:hAnsi="宋体" w:cs="宋体"/>
          <w:lang w:val="en-US" w:eastAsia="zh-CN"/>
        </w:rPr>
        <w:t>指提供的绿色业务领域相关产品或服务，在采购方应用过程中，因替代化石能源消耗，折算产生的氮氧化物减少量。计算公式如下：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sSub>
                <m:sSubPr>
                  <m:ctrlPr>
                    <w:rPr>
                      <w:rFonts w:hint="eastAsia" w:ascii="Cambria Math" w:hAnsi="Cambria Math" w:cs="宋体"/>
                      <w:i/>
                    </w:rPr>
                  </m:ctrlPr>
                </m:sSubPr>
                <m:e>
                  <m:r>
                    <m:rPr/>
                    <w:rPr>
                      <w:rFonts w:hint="default" w:ascii="Cambria Math" w:hAnsi="Cambria Math" w:cs="宋体"/>
                      <w:lang w:val="en-US" w:eastAsia="zh-CN"/>
                    </w:rPr>
                    <m:t>NO</m:t>
                  </m:r>
                  <m:ctrlPr>
                    <w:rPr>
                      <w:rFonts w:hint="eastAsia" w:ascii="Cambria Math" w:hAnsi="Cambria Math" w:cs="宋体"/>
                      <w:i/>
                    </w:rPr>
                  </m:ctrlPr>
                </m:e>
                <m:sub>
                  <m:r>
                    <m:rPr/>
                    <w:rPr>
                      <w:rFonts w:hint="default" w:ascii="Cambria Math" w:hAnsi="Cambria Math" w:cs="宋体"/>
                      <w:lang w:val="en-US" w:eastAsia="zh-CN"/>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f>
            <m:fPr>
              <m:ctrlPr>
                <w:rPr>
                  <w:rFonts w:hint="default" w:ascii="Cambria Math" w:hAnsi="Cambria Math" w:cs="Times New Roman"/>
                  <w:i/>
                </w:rPr>
              </m:ctrlPr>
            </m:fPr>
            <m:num>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ctrlPr>
                <w:rPr>
                  <w:rFonts w:hint="default"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β</m:t>
                  </m:r>
                  <m:ctrlPr>
                    <w:rPr>
                      <w:rFonts w:ascii="Cambria Math" w:hAnsi="Cambria Math" w:cs="Times New Roman"/>
                      <w:i/>
                    </w:rPr>
                  </m:ctrlPr>
                </m:e>
                <m:sub>
                  <m:r>
                    <m:rPr/>
                    <w:rPr>
                      <w:rFonts w:hint="default" w:ascii="Cambria Math" w:hAnsi="Cambria Math" w:cs="Times New Roman"/>
                      <w:lang w:val="en-US" w:eastAsia="zh-CN"/>
                    </w:rPr>
                    <m:t>k</m:t>
                  </m:r>
                  <m:ctrlPr>
                    <w:rPr>
                      <w:rFonts w:ascii="Cambria Math" w:hAnsi="Cambria Math" w:cs="Times New Roman"/>
                      <w:i/>
                    </w:rPr>
                  </m:ctrlPr>
                </m:sub>
              </m:sSub>
              <m:ctrlPr>
                <w:rPr>
                  <w:rFonts w:hint="default" w:ascii="Cambria Math" w:hAnsi="Cambria Math" w:cs="Times New Roman"/>
                  <w:i/>
                </w:rPr>
              </m:ctrlPr>
            </m:den>
          </m:f>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r>
            <m:rPr/>
            <w:rPr>
              <w:rFonts w:hint="default" w:ascii="Cambria Math" w:hAnsi="Cambria Math" w:cs="Times New Roman"/>
              <w:lang w:val="en-US" w:eastAsia="zh-CN"/>
            </w:rPr>
            <m:t>k</m:t>
          </m:r>
          <m:r>
            <m:rPr/>
            <w:rPr>
              <w:rFonts w:ascii="Cambria Math" w:hAnsi="Cambria Math" w:cs="Times New Roman"/>
              <w:lang w:val="en-US"/>
            </w:rPr>
            <m:t>×</m:t>
          </m:r>
          <m:sSup>
            <m:sSupPr>
              <m:ctrlPr>
                <w:rPr>
                  <w:rFonts w:ascii="Cambria Math" w:hAnsi="Cambria Math" w:cs="Times New Roman"/>
                  <w:i/>
                  <w:lang w:val="en-US"/>
                </w:rPr>
              </m:ctrlPr>
            </m:sSupPr>
            <m:e>
              <m:r>
                <m:rPr/>
                <w:rPr>
                  <w:rFonts w:hint="default" w:ascii="Cambria Math" w:hAnsi="Cambria Math" w:cs="Times New Roman"/>
                  <w:lang w:val="en-US" w:eastAsia="zh-CN"/>
                </w:rPr>
                <m:t>10</m:t>
              </m:r>
              <m:ctrlPr>
                <w:rPr>
                  <w:rFonts w:ascii="Cambria Math" w:hAnsi="Cambria Math" w:cs="Times New Roman"/>
                  <w:i/>
                  <w:lang w:val="en-US"/>
                </w:rPr>
              </m:ctrlPr>
            </m:e>
            <m:sup>
              <m:r>
                <m:rPr/>
                <w:rPr>
                  <w:rFonts w:hint="default" w:ascii="Cambria Math" w:hAnsi="Cambria Math" w:cs="Times New Roman"/>
                  <w:lang w:val="en-US" w:eastAsia="zh-CN"/>
                </w:rPr>
                <m:t>−2</m:t>
              </m:r>
              <m:ctrlPr>
                <w:rPr>
                  <w:rFonts w:ascii="Cambria Math" w:hAnsi="Cambria Math" w:cs="Times New Roman"/>
                  <w:i/>
                  <w:lang w:val="en-US"/>
                </w:rPr>
              </m:ctrlPr>
            </m:sup>
          </m:sSup>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ascii="仿宋_GB2312" w:hAnsi="宋体" w:eastAsia="仿宋_GB2312"/>
          <w:szCs w:val="21"/>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N</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default" w:ascii="Cambria Math" w:hAnsi="Cambria Math" w:cs="宋体"/>
                    <w:lang w:val="en-US" w:eastAsia="zh-CN"/>
                  </w:rPr>
                  <m:t>x</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氮氧化物削减总量，吨/年</w:t>
      </w:r>
      <w:r>
        <w:rPr>
          <w:rFonts w:hint="eastAsia" w:hAnsi="宋体" w:cs="宋体"/>
        </w:rPr>
        <w:t>；</w:t>
      </w:r>
    </w:p>
    <w:p>
      <w:pPr>
        <w:ind w:firstLine="422" w:firstLineChars="201"/>
        <w:rPr>
          <w:rFonts w:hint="eastAsia" w:ascii="宋体" w:hAnsi="宋体" w:eastAsia="宋体" w:cs="宋体"/>
          <w:szCs w:val="24"/>
        </w:rPr>
      </w:pPr>
      <m:oMath>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oMath>
      <w:r>
        <w:rPr>
          <w:rFonts w:hint="eastAsia" w:ascii="仿宋_GB2312" w:hAnsi="宋体" w:eastAsia="仿宋_GB2312"/>
          <w:szCs w:val="21"/>
        </w:rPr>
        <w:t>--</w:t>
      </w:r>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ascii="宋体" w:hAnsi="宋体" w:eastAsia="宋体" w:cs="宋体"/>
          <w:szCs w:val="24"/>
        </w:rPr>
        <w:t>，单位：万千瓦时；</w:t>
      </w:r>
    </w:p>
    <w:p>
      <w:pPr>
        <w:spacing w:line="240" w:lineRule="auto"/>
        <w:ind w:firstLine="422" w:firstLineChars="201"/>
        <w:rPr>
          <w:rFonts w:hint="eastAsia" w:ascii="宋体" w:hAnsi="宋体" w:eastAsia="宋体" w:cs="宋体"/>
          <w:szCs w:val="24"/>
        </w:rPr>
      </w:pPr>
      <m:oMath>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oMath>
      <w:r>
        <w:rPr>
          <w:rFonts w:hint="eastAsia" w:ascii="宋体" w:hAnsi="宋体" w:eastAsia="宋体" w:cs="宋体"/>
          <w:szCs w:val="24"/>
        </w:rPr>
        <w:t>--</w:t>
      </w:r>
      <w:r>
        <w:rPr>
          <w:rFonts w:hint="eastAsia" w:hAnsi="Cambria Math" w:cs="宋体"/>
          <w:lang w:val="en-US" w:eastAsia="zh-CN"/>
        </w:rPr>
        <w:t>清洁能源、建筑可再生能源应用</w:t>
      </w:r>
      <w:r>
        <w:rPr>
          <w:rFonts w:hint="eastAsia" w:ascii="宋体" w:hAnsi="宋体" w:eastAsia="宋体" w:cs="宋体"/>
          <w:szCs w:val="24"/>
        </w:rPr>
        <w:t>年度全国火电平均供电煤耗，单位：千克标准煤/千瓦时；</w:t>
      </w:r>
    </w:p>
    <w:p>
      <w:pPr>
        <w:spacing w:line="240" w:lineRule="auto"/>
        <w:ind w:firstLine="422" w:firstLineChars="201"/>
        <w:rPr>
          <w:rFonts w:hint="eastAsia" w:ascii="宋体" w:hAnsi="宋体" w:eastAsia="宋体" w:cs="宋体"/>
          <w:szCs w:val="24"/>
        </w:rPr>
      </w:pPr>
      <m:oMath>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oMath>
      <w:r>
        <w:rPr>
          <w:rFonts w:hint="eastAsia" w:ascii="宋体" w:hAnsi="宋体" w:eastAsia="宋体" w:cs="宋体"/>
          <w:szCs w:val="24"/>
        </w:rPr>
        <w:t>--原煤折标准煤系数，单位：千克标煤/千克，缺省值取0.7143千克标煤/千克</w:t>
      </w:r>
    </w:p>
    <w:p>
      <w:pPr>
        <w:ind w:firstLine="422" w:firstLineChars="201"/>
        <w:rPr>
          <w:rFonts w:hint="eastAsia" w:hAnsi="宋体" w:cs="宋体"/>
          <w:highlight w:val="none"/>
        </w:rPr>
      </w:pPr>
      <m:oMath>
        <m:r>
          <m:rPr/>
          <w:rPr>
            <w:rFonts w:hint="default" w:ascii="Cambria Math" w:hAnsi="Cambria Math" w:cs="Times New Roman"/>
            <w:lang w:val="en-US" w:eastAsia="zh-CN"/>
          </w:rPr>
          <m:t>k</m:t>
        </m:r>
      </m:oMath>
      <w:r>
        <w:rPr>
          <w:rFonts w:hint="eastAsia" w:ascii="宋体" w:hAnsi="宋体" w:eastAsia="宋体" w:cs="宋体"/>
          <w:szCs w:val="24"/>
        </w:rPr>
        <w:t>--燃煤火力发电机组的氮氧化物产污系数，单位：千克/吨（注：按照新建燃煤低氮燃烧机组取值，缺省值为3.30千克/吨）</w:t>
      </w:r>
      <w:r>
        <w:rPr>
          <w:rFonts w:hint="eastAsia" w:ascii="宋体" w:hAnsi="宋体" w:cs="宋体"/>
          <w:szCs w:val="24"/>
          <w:lang w:eastAsia="zh-CN"/>
        </w:rPr>
        <w:t>。</w:t>
      </w:r>
    </w:p>
    <w:p>
      <w:pPr>
        <w:pStyle w:val="48"/>
        <w:spacing w:before="156" w:after="156"/>
        <w:rPr>
          <w:rFonts w:ascii="Times New Roman"/>
        </w:rPr>
      </w:pPr>
      <w:r>
        <w:rPr>
          <w:rFonts w:ascii="Times New Roman"/>
        </w:rPr>
        <w:t>业务表现</w:t>
      </w:r>
    </w:p>
    <w:p>
      <w:pPr>
        <w:pStyle w:val="53"/>
        <w:numPr>
          <w:ilvl w:val="3"/>
          <w:numId w:val="2"/>
        </w:numPr>
        <w:spacing w:before="156" w:after="156"/>
        <w:rPr>
          <w:rFonts w:ascii="Times New Roman"/>
          <w:highlight w:val="yellow"/>
        </w:rPr>
      </w:pPr>
      <w:r>
        <w:rPr>
          <w:rFonts w:ascii="Times New Roman"/>
        </w:rPr>
        <w:t>发展能力</w:t>
      </w:r>
    </w:p>
    <w:p>
      <w:pPr>
        <w:pStyle w:val="57"/>
        <w:spacing w:before="156" w:after="156"/>
        <w:rPr>
          <w:rFonts w:ascii="Times New Roman"/>
        </w:rPr>
      </w:pPr>
      <w:r>
        <w:rPr>
          <w:rFonts w:ascii="Times New Roman"/>
        </w:rPr>
        <w:t>团队技术实力</w:t>
      </w:r>
    </w:p>
    <w:p>
      <w:pPr>
        <w:pStyle w:val="24"/>
        <w:rPr>
          <w:rFonts w:hAnsi="宋体" w:cs="宋体"/>
        </w:rPr>
      </w:pPr>
      <w:r>
        <w:rPr>
          <w:rFonts w:hint="eastAsia" w:hAnsi="宋体" w:cs="宋体"/>
        </w:rPr>
        <w:t>团队技术实力从专业覆盖面、学历职称、相关工作年限等方面进行综合评价。具体评分规则见表</w:t>
      </w:r>
      <w:r>
        <w:rPr>
          <w:rFonts w:hint="eastAsia" w:hAnsi="宋体" w:cs="宋体"/>
          <w:lang w:val="en-US" w:eastAsia="zh-CN"/>
        </w:rPr>
        <w:t>9</w:t>
      </w:r>
      <w:r>
        <w:rPr>
          <w:rFonts w:hint="eastAsia" w:hAnsi="宋体" w:cs="宋体"/>
        </w:rPr>
        <w:t>。</w:t>
      </w:r>
    </w:p>
    <w:p>
      <w:pPr>
        <w:pStyle w:val="128"/>
        <w:rPr>
          <w:rFonts w:ascii="Times New Roman"/>
        </w:rPr>
      </w:pPr>
      <w:r>
        <w:rPr>
          <w:rFonts w:ascii="Times New Roman"/>
        </w:rPr>
        <w:t>团队技术实力评分规则表</w:t>
      </w:r>
    </w:p>
    <w:tbl>
      <w:tblPr>
        <w:tblStyle w:val="34"/>
        <w:tblW w:w="86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605"/>
        <w:gridCol w:w="1365"/>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9" w:type="dxa"/>
            <w:tcBorders>
              <w:top w:val="single" w:color="auto" w:sz="8" w:space="0"/>
              <w:left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团队技术实力</w:t>
            </w:r>
          </w:p>
        </w:tc>
        <w:tc>
          <w:tcPr>
            <w:tcW w:w="1605"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365"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1710" w:type="dxa"/>
            <w:tcBorders>
              <w:top w:val="single" w:color="auto" w:sz="8" w:space="0"/>
              <w:bottom w:val="single" w:color="auto" w:sz="8" w:space="0"/>
              <w:right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9" w:type="dxa"/>
            <w:tcBorders>
              <w:top w:val="single" w:color="auto" w:sz="8" w:space="0"/>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605" w:type="dxa"/>
            <w:tcBorders>
              <w:top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365" w:type="dxa"/>
            <w:tcBorders>
              <w:top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6</w:t>
            </w:r>
          </w:p>
        </w:tc>
        <w:tc>
          <w:tcPr>
            <w:tcW w:w="1710" w:type="dxa"/>
            <w:vMerge w:val="restart"/>
            <w:tcBorders>
              <w:top w:val="single" w:color="auto" w:sz="8" w:space="0"/>
              <w:righ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4"/>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89" w:type="dxa"/>
            <w:tcBorders>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605"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1365"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1710" w:type="dxa"/>
            <w:vMerge w:val="continue"/>
            <w:tcBorders>
              <w:right w:val="single" w:color="auto" w:sz="8" w:space="0"/>
            </w:tcBorders>
            <w:vAlign w:val="center"/>
          </w:tcPr>
          <w:p>
            <w:pPr>
              <w:pStyle w:val="24"/>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89" w:type="dxa"/>
            <w:tcBorders>
              <w:left w:val="single" w:color="auto" w:sz="8" w:space="0"/>
              <w:bottom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人员配置未完全覆盖所需专业，团队实力一般。</w:t>
            </w:r>
          </w:p>
        </w:tc>
        <w:tc>
          <w:tcPr>
            <w:tcW w:w="1605" w:type="dxa"/>
            <w:tcBorders>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365" w:type="dxa"/>
            <w:tcBorders>
              <w:bottom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1710" w:type="dxa"/>
            <w:vMerge w:val="continue"/>
            <w:tcBorders>
              <w:bottom w:val="single" w:color="auto" w:sz="8" w:space="0"/>
              <w:right w:val="single" w:color="auto" w:sz="8" w:space="0"/>
            </w:tcBorders>
            <w:vAlign w:val="center"/>
          </w:tcPr>
          <w:p>
            <w:pPr>
              <w:pStyle w:val="24"/>
              <w:ind w:firstLine="0" w:firstLineChars="0"/>
              <w:rPr>
                <w:rFonts w:hAnsi="宋体" w:cs="宋体"/>
                <w:sz w:val="18"/>
                <w:szCs w:val="18"/>
              </w:rPr>
            </w:pPr>
          </w:p>
        </w:tc>
      </w:tr>
    </w:tbl>
    <w:p>
      <w:pPr>
        <w:pStyle w:val="66"/>
        <w:ind w:left="780" w:leftChars="200" w:hanging="360" w:hangingChars="200"/>
        <w:rPr>
          <w:rFonts w:ascii="Times New Roman"/>
        </w:rPr>
      </w:pPr>
      <w:r>
        <w:rPr>
          <w:rFonts w:hint="eastAsia" w:hAnsi="宋体" w:cs="宋体"/>
        </w:rPr>
        <w:t>科研人员是指直接从事</w:t>
      </w:r>
      <w:r>
        <w:rPr>
          <w:rFonts w:hint="eastAsia" w:hAnsi="宋体" w:cs="宋体"/>
          <w:lang w:eastAsia="zh-CN"/>
        </w:rPr>
        <w:t>绿色低碳产业</w:t>
      </w:r>
      <w:r>
        <w:rPr>
          <w:rFonts w:hint="eastAsia" w:hAnsi="宋体" w:cs="宋体"/>
        </w:rPr>
        <w:t>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7"/>
        <w:spacing w:before="156" w:after="156"/>
        <w:rPr>
          <w:rFonts w:ascii="Times New Roman"/>
        </w:rPr>
      </w:pPr>
      <w:r>
        <w:rPr>
          <w:rFonts w:ascii="Times New Roman"/>
        </w:rPr>
        <w:t>研发投入</w:t>
      </w:r>
    </w:p>
    <w:p>
      <w:pPr>
        <w:pStyle w:val="24"/>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lang w:val="en-US" w:eastAsia="zh-CN"/>
        </w:rPr>
        <w:t>0</w:t>
      </w:r>
      <w:r>
        <w:rPr>
          <w:rFonts w:hint="eastAsia" w:hAnsi="宋体" w:cs="宋体"/>
        </w:rPr>
        <w:t>。</w:t>
      </w:r>
    </w:p>
    <w:p>
      <w:pPr>
        <w:pStyle w:val="128"/>
        <w:rPr>
          <w:rFonts w:ascii="Times New Roman"/>
        </w:rPr>
      </w:pPr>
      <w:r>
        <w:rPr>
          <w:rFonts w:ascii="Times New Roman"/>
        </w:rPr>
        <w:t>研发投入评分规则表</w:t>
      </w:r>
    </w:p>
    <w:tbl>
      <w:tblPr>
        <w:tblStyle w:val="34"/>
        <w:tblW w:w="81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93"/>
        <w:gridCol w:w="1485"/>
        <w:gridCol w:w="1335"/>
        <w:gridCol w:w="205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9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绿色业务领域研发投入占比</w:t>
            </w:r>
          </w:p>
        </w:tc>
        <w:tc>
          <w:tcPr>
            <w:tcW w:w="148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33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05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93"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485"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335" w:type="dxa"/>
            <w:vMerge w:val="restart"/>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8</w:t>
            </w:r>
          </w:p>
        </w:tc>
        <w:tc>
          <w:tcPr>
            <w:tcW w:w="2055"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9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485" w:type="dxa"/>
            <w:vMerge w:val="continue"/>
            <w:tcBorders>
              <w:tl2br w:val="nil"/>
              <w:tr2bl w:val="nil"/>
            </w:tcBorders>
            <w:vAlign w:val="center"/>
          </w:tcPr>
          <w:p>
            <w:pPr>
              <w:pStyle w:val="24"/>
              <w:ind w:firstLine="0" w:firstLineChars="0"/>
              <w:jc w:val="center"/>
              <w:rPr>
                <w:rFonts w:hAnsi="宋体" w:cs="宋体"/>
                <w:sz w:val="18"/>
                <w:szCs w:val="18"/>
              </w:rPr>
            </w:pPr>
          </w:p>
        </w:tc>
        <w:tc>
          <w:tcPr>
            <w:tcW w:w="1335" w:type="dxa"/>
            <w:vMerge w:val="continue"/>
            <w:tcBorders>
              <w:tl2br w:val="nil"/>
              <w:tr2bl w:val="nil"/>
            </w:tcBorders>
            <w:vAlign w:val="center"/>
          </w:tcPr>
          <w:p>
            <w:pPr>
              <w:pStyle w:val="24"/>
              <w:ind w:firstLine="0" w:firstLineChars="0"/>
              <w:jc w:val="center"/>
              <w:rPr>
                <w:rFonts w:hAnsi="宋体" w:cs="宋体"/>
                <w:sz w:val="18"/>
                <w:szCs w:val="18"/>
              </w:rPr>
            </w:pPr>
          </w:p>
        </w:tc>
        <w:tc>
          <w:tcPr>
            <w:tcW w:w="2055"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9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485" w:type="dxa"/>
            <w:vMerge w:val="continue"/>
            <w:tcBorders>
              <w:tl2br w:val="nil"/>
              <w:tr2bl w:val="nil"/>
            </w:tcBorders>
            <w:vAlign w:val="center"/>
          </w:tcPr>
          <w:p>
            <w:pPr>
              <w:pStyle w:val="24"/>
              <w:ind w:firstLine="0" w:firstLineChars="0"/>
              <w:jc w:val="center"/>
              <w:rPr>
                <w:rFonts w:hAnsi="宋体" w:cs="宋体"/>
                <w:sz w:val="18"/>
                <w:szCs w:val="18"/>
              </w:rPr>
            </w:pPr>
          </w:p>
        </w:tc>
        <w:tc>
          <w:tcPr>
            <w:tcW w:w="1335" w:type="dxa"/>
            <w:vMerge w:val="continue"/>
            <w:tcBorders>
              <w:tl2br w:val="nil"/>
              <w:tr2bl w:val="nil"/>
            </w:tcBorders>
            <w:vAlign w:val="center"/>
          </w:tcPr>
          <w:p>
            <w:pPr>
              <w:pStyle w:val="24"/>
              <w:ind w:firstLine="0" w:firstLineChars="0"/>
              <w:jc w:val="center"/>
              <w:rPr>
                <w:rFonts w:hAnsi="宋体" w:cs="宋体"/>
                <w:sz w:val="18"/>
                <w:szCs w:val="18"/>
              </w:rPr>
            </w:pPr>
          </w:p>
        </w:tc>
        <w:tc>
          <w:tcPr>
            <w:tcW w:w="2055"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9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上述项均不满足。</w:t>
            </w:r>
          </w:p>
        </w:tc>
        <w:tc>
          <w:tcPr>
            <w:tcW w:w="148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33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2055"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pStyle w:val="57"/>
        <w:spacing w:before="156" w:after="156"/>
        <w:rPr>
          <w:rFonts w:ascii="Times New Roman"/>
        </w:rPr>
      </w:pPr>
      <w:r>
        <w:rPr>
          <w:rFonts w:hint="eastAsia" w:ascii="Times New Roman"/>
          <w:lang w:eastAsia="zh-CN"/>
        </w:rPr>
        <w:t>业务增长率</w:t>
      </w:r>
    </w:p>
    <w:p>
      <w:pPr>
        <w:pStyle w:val="24"/>
        <w:rPr>
          <w:rFonts w:ascii="Times New Roman"/>
        </w:rPr>
      </w:pPr>
      <w:r>
        <w:rPr>
          <w:rFonts w:hint="eastAsia" w:ascii="宋体" w:hAnsi="宋体" w:eastAsia="宋体" w:cs="宋体"/>
          <w:sz w:val="21"/>
          <w:highlight w:val="none"/>
          <w:lang w:val="en-US" w:eastAsia="zh-CN" w:bidi="ar-SA"/>
        </w:rPr>
        <w:t>指当年主营业务收入增长额与上年主营业务收入总额比值，采用近三年平均值进行评估（实际经营期不满三年的，按实际经营时间计算）</w:t>
      </w:r>
      <w:r>
        <w:rPr>
          <w:rFonts w:hint="eastAsia" w:hAnsi="宋体" w:cs="宋体"/>
        </w:rPr>
        <w:t>。具体评分规则见表</w:t>
      </w:r>
      <w:r>
        <w:rPr>
          <w:rFonts w:hint="eastAsia" w:hAnsi="宋体" w:cs="宋体"/>
          <w:lang w:val="en-US" w:eastAsia="zh-CN"/>
        </w:rPr>
        <w:t>11</w:t>
      </w:r>
      <w:r>
        <w:rPr>
          <w:rFonts w:hint="eastAsia" w:hAnsi="宋体" w:cs="宋体"/>
        </w:rPr>
        <w:t>。</w:t>
      </w:r>
    </w:p>
    <w:p>
      <w:pPr>
        <w:pStyle w:val="128"/>
        <w:rPr>
          <w:rFonts w:ascii="Times New Roman"/>
        </w:rPr>
      </w:pPr>
      <w:r>
        <w:rPr>
          <w:rFonts w:hint="eastAsia" w:ascii="Times New Roman" w:hAnsi="Times New Roman" w:eastAsia="黑体" w:cs="Times New Roman"/>
          <w:sz w:val="21"/>
          <w:highlight w:val="none"/>
          <w:lang w:val="en-US" w:eastAsia="zh-CN" w:bidi="ar-SA"/>
        </w:rPr>
        <w:t>业务增长率</w:t>
      </w:r>
      <w:r>
        <w:rPr>
          <w:rFonts w:ascii="Times New Roman" w:hAnsi="Times New Roman" w:eastAsia="黑体" w:cs="Times New Roman"/>
          <w:sz w:val="21"/>
          <w:highlight w:val="none"/>
          <w:lang w:val="en-US" w:eastAsia="zh-CN" w:bidi="ar-SA"/>
        </w:rPr>
        <w:t>评分规则表</w:t>
      </w:r>
    </w:p>
    <w:tbl>
      <w:tblPr>
        <w:tblStyle w:val="34"/>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业务增长率</w:t>
            </w:r>
            <w:r>
              <w:rPr>
                <w:rFonts w:hint="eastAsia" w:ascii="Times New Roman" w:hAnsi="Times New Roman" w:eastAsia="宋体" w:cs="Times New Roman"/>
                <w:b/>
                <w:bCs/>
                <w:sz w:val="18"/>
                <w:szCs w:val="18"/>
                <w:highlight w:val="none"/>
                <w:lang w:val="en-US" w:eastAsia="zh-CN" w:bidi="ar-SA"/>
              </w:rPr>
              <w:t>（%）</w:t>
            </w:r>
          </w:p>
        </w:tc>
        <w:tc>
          <w:tcPr>
            <w:tcW w:w="1559"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1559"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[5%,10%)</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4"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3"/>
        <w:numPr>
          <w:ilvl w:val="3"/>
          <w:numId w:val="2"/>
        </w:numPr>
        <w:spacing w:before="156" w:after="156"/>
        <w:rPr>
          <w:rFonts w:ascii="Times New Roman"/>
        </w:rPr>
      </w:pPr>
      <w:r>
        <w:rPr>
          <w:rFonts w:ascii="Times New Roman"/>
        </w:rPr>
        <w:t>市场影响</w:t>
      </w:r>
    </w:p>
    <w:p>
      <w:pPr>
        <w:pStyle w:val="57"/>
        <w:spacing w:before="156" w:after="156"/>
        <w:rPr>
          <w:rFonts w:ascii="Times New Roman"/>
        </w:rPr>
      </w:pPr>
      <w:r>
        <w:rPr>
          <w:rFonts w:ascii="Times New Roman"/>
        </w:rPr>
        <w:t>市场竞争力</w:t>
      </w:r>
    </w:p>
    <w:p>
      <w:pPr>
        <w:pStyle w:val="24"/>
        <w:rPr>
          <w:rFonts w:ascii="Times New Roman"/>
        </w:rPr>
      </w:pPr>
      <w:r>
        <w:rPr>
          <w:rFonts w:hint="eastAsia" w:hAnsi="宋体" w:cs="宋体"/>
        </w:rPr>
        <w:t>市场竞争力从提供的绿色业务领域相关产品或服务的市场占有</w:t>
      </w:r>
      <w:r>
        <w:rPr>
          <w:rFonts w:hint="eastAsia" w:hAnsi="宋体" w:cs="宋体"/>
          <w:lang w:eastAsia="zh-CN"/>
        </w:rPr>
        <w:t>率</w:t>
      </w:r>
      <w:r>
        <w:rPr>
          <w:rFonts w:hint="eastAsia" w:hAnsi="宋体" w:cs="宋体"/>
        </w:rPr>
        <w:t>，以及稳定提供相关产品或服务的年限进行综合评价。具体评分规则见表</w:t>
      </w:r>
      <w:r>
        <w:rPr>
          <w:rFonts w:hint="eastAsia" w:hAnsi="宋体" w:cs="宋体"/>
          <w:lang w:val="en-US" w:eastAsia="zh-CN"/>
        </w:rPr>
        <w:t>12</w:t>
      </w:r>
      <w:r>
        <w:rPr>
          <w:rFonts w:hint="eastAsia" w:hAnsi="宋体" w:cs="宋体"/>
        </w:rPr>
        <w:t>。</w:t>
      </w:r>
    </w:p>
    <w:p>
      <w:pPr>
        <w:pStyle w:val="128"/>
        <w:rPr>
          <w:rFonts w:ascii="Times New Roman"/>
        </w:rPr>
      </w:pPr>
      <w:r>
        <w:rPr>
          <w:rFonts w:ascii="Times New Roman"/>
        </w:rPr>
        <w:t>市场竞争力评分规则表</w:t>
      </w:r>
    </w:p>
    <w:tbl>
      <w:tblPr>
        <w:tblStyle w:val="34"/>
        <w:tblW w:w="81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78"/>
        <w:gridCol w:w="1083"/>
        <w:gridCol w:w="1400"/>
        <w:gridCol w:w="1067"/>
        <w:gridCol w:w="16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78" w:type="dxa"/>
            <w:tcBorders>
              <w:bottom w:val="single" w:color="auto" w:sz="8" w:space="0"/>
            </w:tcBorders>
            <w:vAlign w:val="center"/>
          </w:tcPr>
          <w:p>
            <w:pPr>
              <w:pStyle w:val="24"/>
              <w:adjustRightInd w:val="0"/>
              <w:ind w:firstLine="0" w:firstLineChars="0"/>
              <w:jc w:val="center"/>
              <w:rPr>
                <w:rFonts w:hint="eastAsia" w:ascii="Times New Roman" w:eastAsia="宋体"/>
                <w:b/>
                <w:bCs/>
                <w:sz w:val="18"/>
                <w:szCs w:val="18"/>
                <w:lang w:eastAsia="zh-CN"/>
              </w:rPr>
            </w:pPr>
            <w:r>
              <w:rPr>
                <w:rFonts w:ascii="Times New Roman"/>
                <w:b/>
                <w:bCs/>
                <w:sz w:val="18"/>
                <w:szCs w:val="18"/>
              </w:rPr>
              <w:t>市场占有</w:t>
            </w:r>
            <w:r>
              <w:rPr>
                <w:rFonts w:hint="eastAsia" w:ascii="Times New Roman"/>
                <w:b/>
                <w:bCs/>
                <w:sz w:val="18"/>
                <w:szCs w:val="18"/>
                <w:lang w:eastAsia="zh-CN"/>
              </w:rPr>
              <w:t>率</w:t>
            </w:r>
          </w:p>
        </w:tc>
        <w:tc>
          <w:tcPr>
            <w:tcW w:w="1083"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400"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67"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92"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分值</w:t>
            </w:r>
          </w:p>
          <w:p>
            <w:pPr>
              <w:pStyle w:val="24"/>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78" w:type="dxa"/>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行业内市场占有率处于较高水平。</w:t>
            </w:r>
          </w:p>
        </w:tc>
        <w:tc>
          <w:tcPr>
            <w:tcW w:w="1083"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(4,6]</w:t>
            </w:r>
          </w:p>
        </w:tc>
        <w:tc>
          <w:tcPr>
            <w:tcW w:w="1400"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＞10</w:t>
            </w:r>
          </w:p>
        </w:tc>
        <w:tc>
          <w:tcPr>
            <w:tcW w:w="1067"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3</w:t>
            </w:r>
          </w:p>
        </w:tc>
        <w:tc>
          <w:tcPr>
            <w:tcW w:w="1692" w:type="dxa"/>
            <w:vMerge w:val="restart"/>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rPr>
              <w:t>该项得分为两项指标累计得分。优质中小企业相应基础分值加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78"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行业内市场占有率处于中等水平。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(2,4]</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(5,10]</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78"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行业内市场占有率处于一般水平。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[0,2]</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(2,5]</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bl>
    <w:p>
      <w:pPr>
        <w:pStyle w:val="57"/>
        <w:spacing w:before="156" w:after="156"/>
        <w:rPr>
          <w:rFonts w:ascii="Times New Roman"/>
        </w:rPr>
      </w:pPr>
      <w:r>
        <w:rPr>
          <w:rFonts w:ascii="Times New Roman"/>
        </w:rPr>
        <w:t>产业影响力</w:t>
      </w:r>
    </w:p>
    <w:p>
      <w:pPr>
        <w:pStyle w:val="24"/>
        <w:rPr>
          <w:rFonts w:hint="eastAsia" w:ascii="宋体" w:hAnsi="宋体" w:eastAsia="宋体" w:cs="宋体"/>
          <w:lang w:val="en-US" w:eastAsia="zh-CN"/>
        </w:rPr>
      </w:pPr>
      <w:r>
        <w:rPr>
          <w:rFonts w:hint="eastAsia" w:hAnsi="宋体" w:cs="宋体"/>
        </w:rPr>
        <w:t>产业影响力从提供的绿色业务领域相关产品或服务，引领</w:t>
      </w:r>
      <w:r>
        <w:rPr>
          <w:rFonts w:hint="eastAsia" w:hAnsi="宋体" w:cs="宋体"/>
          <w:lang w:eastAsia="zh-CN"/>
        </w:rPr>
        <w:t>绿色低碳产业</w:t>
      </w:r>
      <w:r>
        <w:rPr>
          <w:rFonts w:hint="eastAsia" w:hAnsi="宋体" w:cs="宋体"/>
        </w:rPr>
        <w:t>技术创新或市场发展的影响能力进行评价，在产业链关键环节及领域取得“补短板”“</w:t>
      </w:r>
      <w:r>
        <w:rPr>
          <w:rFonts w:hint="eastAsia" w:hAnsi="宋体" w:cs="宋体"/>
          <w:highlight w:val="none"/>
        </w:rPr>
        <w:t>锻长</w:t>
      </w:r>
      <w:r>
        <w:rPr>
          <w:rFonts w:hint="eastAsia" w:hAnsi="宋体" w:cs="宋体"/>
          <w:highlight w:val="none"/>
          <w:lang w:eastAsia="zh-CN"/>
        </w:rPr>
        <w:t>链</w:t>
      </w:r>
      <w:r>
        <w:rPr>
          <w:rFonts w:hint="eastAsia" w:hAnsi="宋体" w:cs="宋体"/>
        </w:rPr>
        <w:t>”“填空白”的实际技术突破，或</w:t>
      </w:r>
      <w:r>
        <w:rPr>
          <w:rFonts w:hint="eastAsia" w:ascii="宋体" w:hAnsi="宋体" w:eastAsia="宋体" w:cs="宋体"/>
          <w:b w:val="0"/>
          <w:bCs w:val="0"/>
          <w:i w:val="0"/>
          <w:iCs w:val="0"/>
          <w:caps w:val="0"/>
          <w:spacing w:val="0"/>
          <w:sz w:val="21"/>
          <w:szCs w:val="20"/>
          <w:shd w:val="clear"/>
        </w:rPr>
        <w:t>支持开展</w:t>
      </w:r>
      <w:r>
        <w:rPr>
          <w:rFonts w:hint="eastAsia" w:hAnsi="宋体" w:cs="宋体"/>
          <w:b w:val="0"/>
          <w:bCs w:val="0"/>
          <w:i w:val="0"/>
          <w:iCs w:val="0"/>
          <w:caps w:val="0"/>
          <w:spacing w:val="0"/>
          <w:sz w:val="21"/>
          <w:szCs w:val="20"/>
          <w:shd w:val="clear"/>
          <w:lang w:eastAsia="zh-CN"/>
        </w:rPr>
        <w:t>充换电站</w:t>
      </w:r>
      <w:r>
        <w:rPr>
          <w:rFonts w:hint="eastAsia" w:ascii="宋体" w:hAnsi="宋体" w:eastAsia="宋体" w:cs="宋体"/>
          <w:b w:val="0"/>
          <w:bCs w:val="0"/>
          <w:i w:val="0"/>
          <w:iCs w:val="0"/>
          <w:caps w:val="0"/>
          <w:spacing w:val="0"/>
          <w:sz w:val="21"/>
          <w:szCs w:val="20"/>
          <w:shd w:val="clear"/>
        </w:rPr>
        <w:t>大功率化、智能化</w:t>
      </w:r>
      <w:r>
        <w:rPr>
          <w:rFonts w:hint="eastAsia" w:hAnsi="宋体" w:cs="宋体"/>
          <w:b w:val="0"/>
          <w:bCs w:val="0"/>
          <w:i w:val="0"/>
          <w:iCs w:val="0"/>
          <w:caps w:val="0"/>
          <w:spacing w:val="0"/>
          <w:sz w:val="21"/>
          <w:szCs w:val="20"/>
          <w:shd w:val="clear"/>
          <w:lang w:eastAsia="zh-CN"/>
        </w:rPr>
        <w:t>改造</w:t>
      </w:r>
      <w:r>
        <w:rPr>
          <w:rFonts w:hint="eastAsia" w:ascii="宋体" w:hAnsi="宋体" w:eastAsia="宋体" w:cs="宋体"/>
          <w:b w:val="0"/>
          <w:bCs w:val="0"/>
          <w:i w:val="0"/>
          <w:iCs w:val="0"/>
          <w:caps w:val="0"/>
          <w:spacing w:val="0"/>
          <w:sz w:val="21"/>
          <w:szCs w:val="20"/>
          <w:shd w:val="clear"/>
        </w:rPr>
        <w:t>升级</w:t>
      </w:r>
      <w:r>
        <w:rPr>
          <w:rFonts w:hint="eastAsia" w:hAnsi="宋体" w:cs="宋体"/>
          <w:b w:val="0"/>
          <w:bCs w:val="0"/>
          <w:i w:val="0"/>
          <w:iCs w:val="0"/>
          <w:caps w:val="0"/>
          <w:spacing w:val="0"/>
          <w:sz w:val="21"/>
          <w:szCs w:val="20"/>
          <w:shd w:val="clear"/>
          <w:lang w:val="en-US" w:eastAsia="zh-CN"/>
        </w:rPr>
        <w:t>等</w:t>
      </w:r>
      <w:r>
        <w:rPr>
          <w:rFonts w:hint="eastAsia" w:hAnsi="宋体" w:cs="宋体"/>
        </w:rPr>
        <w:t>有助于新产业、新业态、新商业模式的培育壮大等。</w:t>
      </w:r>
      <w:r>
        <w:rPr>
          <w:rFonts w:hint="eastAsia" w:hAnsi="宋体" w:cs="宋体"/>
          <w:lang w:eastAsia="zh-CN"/>
        </w:rPr>
        <w:t>新业态主要是指充换电站是否配套小型储能电站等。</w:t>
      </w:r>
      <w:r>
        <w:rPr>
          <w:rFonts w:hint="eastAsia" w:hAnsi="宋体" w:cs="宋体"/>
        </w:rPr>
        <w:t>若未来有新的技术导向，以更新后的目录、政策文件为主。具体评分规则见表</w:t>
      </w:r>
      <w:r>
        <w:rPr>
          <w:rFonts w:hint="eastAsia" w:hAnsi="宋体" w:cs="宋体"/>
          <w:lang w:val="en-US" w:eastAsia="zh-CN"/>
        </w:rPr>
        <w:t>13</w:t>
      </w:r>
      <w:r>
        <w:rPr>
          <w:rFonts w:hint="eastAsia" w:hAnsi="宋体" w:cs="宋体"/>
        </w:rPr>
        <w:t>。</w:t>
      </w:r>
    </w:p>
    <w:p>
      <w:pPr>
        <w:pStyle w:val="128"/>
        <w:rPr>
          <w:rFonts w:ascii="Times New Roman"/>
        </w:rPr>
      </w:pPr>
      <w:r>
        <w:rPr>
          <w:rFonts w:ascii="Times New Roman"/>
        </w:rPr>
        <w:t>产业影响力评分规则表</w:t>
      </w:r>
    </w:p>
    <w:tbl>
      <w:tblPr>
        <w:tblStyle w:val="34"/>
        <w:tblW w:w="8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70"/>
        <w:gridCol w:w="1582"/>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bottom w:val="single" w:color="auto" w:sz="8" w:space="0"/>
            </w:tcBorders>
          </w:tcPr>
          <w:p>
            <w:pPr>
              <w:pStyle w:val="24"/>
              <w:ind w:firstLine="0" w:firstLineChars="0"/>
              <w:jc w:val="center"/>
              <w:rPr>
                <w:rFonts w:ascii="Times New Roman"/>
                <w:b/>
                <w:bCs/>
                <w:sz w:val="18"/>
                <w:szCs w:val="18"/>
              </w:rPr>
            </w:pPr>
            <w:r>
              <w:rPr>
                <w:rFonts w:ascii="Times New Roman"/>
                <w:b/>
                <w:bCs/>
                <w:sz w:val="18"/>
                <w:szCs w:val="18"/>
              </w:rPr>
              <w:t>产业影响力水平</w:t>
            </w:r>
          </w:p>
        </w:tc>
        <w:tc>
          <w:tcPr>
            <w:tcW w:w="1582" w:type="dxa"/>
            <w:tcBorders>
              <w:top w:val="single" w:color="auto" w:sz="8" w:space="0"/>
              <w:bottom w:val="single" w:color="auto" w:sz="8" w:space="0"/>
              <w:right w:val="single" w:color="auto" w:sz="8" w:space="0"/>
            </w:tcBorders>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c>
          <w:tcPr>
            <w:tcW w:w="1582" w:type="dxa"/>
            <w:tcBorders>
              <w:top w:val="single" w:color="auto" w:sz="8" w:space="0"/>
              <w:bottom w:val="single" w:color="auto" w:sz="8" w:space="0"/>
              <w:right w:val="single" w:color="auto" w:sz="8" w:space="0"/>
            </w:tcBorders>
          </w:tcPr>
          <w:p>
            <w:pPr>
              <w:pStyle w:val="24"/>
              <w:ind w:firstLine="0" w:firstLineChars="0"/>
              <w:jc w:val="center"/>
              <w:rPr>
                <w:rFonts w:hint="eastAsia" w:ascii="Times New Roman" w:eastAsia="宋体"/>
                <w:b/>
                <w:bCs/>
                <w:sz w:val="18"/>
                <w:szCs w:val="18"/>
                <w:lang w:eastAsia="zh-CN"/>
              </w:rPr>
            </w:pPr>
            <w:r>
              <w:rPr>
                <w:rFonts w:hint="eastAsia" w:ascii="Times New Roman"/>
                <w:b/>
                <w:bCs/>
                <w:sz w:val="18"/>
                <w:szCs w:val="18"/>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tcBorders>
          </w:tcPr>
          <w:p>
            <w:pPr>
              <w:pStyle w:val="24"/>
              <w:ind w:firstLine="0" w:firstLineChars="0"/>
              <w:rPr>
                <w:rFonts w:hAnsi="宋体" w:cs="宋体"/>
                <w:sz w:val="18"/>
                <w:szCs w:val="18"/>
              </w:rPr>
            </w:pPr>
            <w:r>
              <w:rPr>
                <w:rFonts w:hint="eastAsia" w:hAnsi="宋体" w:cs="宋体"/>
                <w:sz w:val="18"/>
                <w:szCs w:val="18"/>
              </w:rPr>
              <w:t>具有显著的引领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top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r>
              <w:rPr>
                <w:rFonts w:hint="eastAsia" w:hAnsi="宋体" w:cs="宋体"/>
                <w:sz w:val="18"/>
                <w:szCs w:val="18"/>
                <w:lang w:val="en-US" w:eastAsia="zh-CN"/>
              </w:rPr>
              <w:t>7</w:t>
            </w:r>
            <w:r>
              <w:rPr>
                <w:rFonts w:hint="eastAsia" w:hAnsi="宋体" w:cs="宋体"/>
                <w:sz w:val="18"/>
                <w:szCs w:val="18"/>
              </w:rPr>
              <w:t>]</w:t>
            </w:r>
          </w:p>
        </w:tc>
        <w:tc>
          <w:tcPr>
            <w:tcW w:w="1582" w:type="dxa"/>
            <w:vMerge w:val="restart"/>
            <w:tcBorders>
              <w:top w:val="single" w:color="auto" w:sz="8" w:space="0"/>
              <w:right w:val="single" w:color="auto" w:sz="8" w:space="0"/>
            </w:tcBorders>
            <w:vAlign w:val="center"/>
          </w:tcPr>
          <w:p>
            <w:pPr>
              <w:pStyle w:val="24"/>
              <w:ind w:firstLine="0" w:firstLineChars="0"/>
              <w:jc w:val="center"/>
              <w:rPr>
                <w:rFonts w:hint="eastAsia"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具有较强的引领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(2,4]</w:t>
            </w:r>
          </w:p>
        </w:tc>
        <w:tc>
          <w:tcPr>
            <w:tcW w:w="1582" w:type="dxa"/>
            <w:vMerge w:val="continue"/>
            <w:tcBorders>
              <w:right w:val="single" w:color="auto" w:sz="8" w:space="0"/>
            </w:tcBorders>
            <w:vAlign w:val="center"/>
          </w:tcPr>
          <w:p>
            <w:pPr>
              <w:pStyle w:val="24"/>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具有一定的引领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(0,2]</w:t>
            </w:r>
          </w:p>
        </w:tc>
        <w:tc>
          <w:tcPr>
            <w:tcW w:w="1582" w:type="dxa"/>
            <w:vMerge w:val="continue"/>
            <w:tcBorders>
              <w:right w:val="single" w:color="auto" w:sz="8" w:space="0"/>
            </w:tcBorders>
            <w:vAlign w:val="center"/>
          </w:tcPr>
          <w:p>
            <w:pPr>
              <w:pStyle w:val="24"/>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bottom w:val="single" w:color="auto" w:sz="8" w:space="0"/>
            </w:tcBorders>
          </w:tcPr>
          <w:p>
            <w:pPr>
              <w:pStyle w:val="24"/>
              <w:ind w:firstLine="0" w:firstLineChars="0"/>
              <w:rPr>
                <w:rFonts w:hAnsi="宋体" w:cs="宋体"/>
                <w:sz w:val="18"/>
                <w:szCs w:val="18"/>
              </w:rPr>
            </w:pPr>
            <w:r>
              <w:rPr>
                <w:rFonts w:hint="eastAsia" w:hAnsi="宋体" w:cs="宋体"/>
                <w:sz w:val="18"/>
                <w:szCs w:val="18"/>
              </w:rPr>
              <w:t>未产生明显产业影响力。</w:t>
            </w:r>
          </w:p>
        </w:tc>
        <w:tc>
          <w:tcPr>
            <w:tcW w:w="1582" w:type="dxa"/>
            <w:tcBorders>
              <w:bottom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582" w:type="dxa"/>
            <w:vMerge w:val="continue"/>
            <w:tcBorders>
              <w:bottom w:val="single" w:color="auto" w:sz="8" w:space="0"/>
              <w:right w:val="single" w:color="auto" w:sz="8" w:space="0"/>
            </w:tcBorders>
            <w:vAlign w:val="center"/>
          </w:tcPr>
          <w:p>
            <w:pPr>
              <w:pStyle w:val="24"/>
              <w:ind w:firstLine="0" w:firstLineChars="0"/>
              <w:jc w:val="center"/>
              <w:rPr>
                <w:rFonts w:hint="eastAsia" w:hAnsi="宋体" w:cs="宋体"/>
                <w:sz w:val="18"/>
                <w:szCs w:val="18"/>
              </w:rPr>
            </w:pPr>
          </w:p>
        </w:tc>
      </w:tr>
    </w:tbl>
    <w:p>
      <w:pPr>
        <w:pStyle w:val="57"/>
        <w:spacing w:before="156" w:after="156"/>
        <w:rPr>
          <w:rFonts w:ascii="Times New Roman"/>
        </w:rPr>
      </w:pPr>
      <w:r>
        <w:rPr>
          <w:rFonts w:ascii="Times New Roman"/>
        </w:rPr>
        <w:t>行业资质荣誉</w:t>
      </w:r>
    </w:p>
    <w:p>
      <w:pPr>
        <w:pStyle w:val="24"/>
        <w:rPr>
          <w:rFonts w:ascii="Times New Roman"/>
        </w:rPr>
      </w:pPr>
      <w:r>
        <w:rPr>
          <w:rFonts w:hint="eastAsia" w:hAnsi="宋体" w:cs="宋体"/>
        </w:rPr>
        <w:t>行业资质荣誉从提供的绿色业务领域相关产品或服务，</w:t>
      </w:r>
      <w:r>
        <w:rPr>
          <w:rFonts w:hint="eastAsia" w:hAnsi="宋体" w:cs="宋体"/>
          <w:lang w:eastAsia="zh-CN"/>
        </w:rPr>
        <w:t>近五年内</w:t>
      </w:r>
      <w:r>
        <w:rPr>
          <w:rFonts w:hint="eastAsia" w:hAnsi="宋体" w:cs="宋体"/>
        </w:rPr>
        <w:t>获得的国家级、省部级、市级或区级奖项、资质、荣誉、认定或证书的情况进行评价</w:t>
      </w:r>
      <w:r>
        <w:rPr>
          <w:rFonts w:hint="eastAsia" w:hAnsi="宋体" w:cs="宋体"/>
          <w:lang w:eastAsia="zh-CN"/>
        </w:rPr>
        <w:t>，</w:t>
      </w:r>
      <w:r>
        <w:rPr>
          <w:rFonts w:hint="eastAsia" w:hAnsi="宋体" w:cs="宋体"/>
          <w:lang w:val="en-US" w:eastAsia="zh-CN"/>
        </w:rPr>
        <w:t>国家级行业协会颁发的相关资质、荣誉、认定或证书视为省部级</w:t>
      </w:r>
      <w:r>
        <w:rPr>
          <w:rFonts w:hint="eastAsia" w:hAnsi="宋体" w:cs="宋体"/>
        </w:rPr>
        <w:t>。具体评分规则见表</w:t>
      </w:r>
      <w:r>
        <w:rPr>
          <w:rFonts w:hint="eastAsia" w:hAnsi="宋体" w:cs="宋体"/>
          <w:lang w:val="en-US" w:eastAsia="zh-CN"/>
        </w:rPr>
        <w:t>14</w:t>
      </w:r>
      <w:r>
        <w:rPr>
          <w:rFonts w:hint="eastAsia" w:hAnsi="宋体" w:cs="宋体"/>
        </w:rPr>
        <w:t>。</w:t>
      </w:r>
    </w:p>
    <w:p>
      <w:pPr>
        <w:pStyle w:val="128"/>
        <w:rPr>
          <w:rFonts w:ascii="Times New Roman"/>
        </w:rPr>
      </w:pPr>
      <w:r>
        <w:rPr>
          <w:rFonts w:ascii="Times New Roman"/>
        </w:rPr>
        <w:t>行业资质荣誉评分规则表</w:t>
      </w:r>
    </w:p>
    <w:tbl>
      <w:tblPr>
        <w:tblStyle w:val="34"/>
        <w:tblW w:w="827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933"/>
        <w:gridCol w:w="1155"/>
        <w:gridCol w:w="1050"/>
        <w:gridCol w:w="214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933"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行业资质荣誉</w:t>
            </w:r>
          </w:p>
        </w:tc>
        <w:tc>
          <w:tcPr>
            <w:tcW w:w="115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5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14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3933"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获得1项国家级奖项、资质、荣誉、认定或证书。</w:t>
            </w:r>
          </w:p>
        </w:tc>
        <w:tc>
          <w:tcPr>
            <w:tcW w:w="115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1050"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2140"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p>
            <w:pPr>
              <w:pStyle w:val="24"/>
              <w:ind w:firstLine="0" w:firstLineChars="0"/>
              <w:rPr>
                <w:rFonts w:hAnsi="宋体" w:cs="宋体"/>
                <w:sz w:val="18"/>
                <w:szCs w:val="18"/>
              </w:rPr>
            </w:pPr>
            <w:r>
              <w:rPr>
                <w:rFonts w:hint="eastAsia" w:hAnsi="宋体" w:cs="宋体"/>
                <w:sz w:val="18"/>
                <w:szCs w:val="18"/>
              </w:rPr>
              <w:t>每多一项国家级、省部级、市级、区级资质荣誉，分别加1分、0.5分、0.3分、0.2分。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93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获得1项省部级奖项、资质、荣誉、认定或证书。</w:t>
            </w:r>
          </w:p>
        </w:tc>
        <w:tc>
          <w:tcPr>
            <w:tcW w:w="115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c>
          <w:tcPr>
            <w:tcW w:w="1050"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2140"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393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获得1项市级奖项、资质、荣誉、认定或证书。</w:t>
            </w:r>
          </w:p>
        </w:tc>
        <w:tc>
          <w:tcPr>
            <w:tcW w:w="115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50"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2140"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33"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未获得行业资质荣誉奖项。</w:t>
            </w:r>
          </w:p>
        </w:tc>
        <w:tc>
          <w:tcPr>
            <w:tcW w:w="115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050"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2140"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48"/>
        <w:spacing w:before="156" w:after="156"/>
        <w:rPr>
          <w:rFonts w:ascii="Times New Roman"/>
        </w:rPr>
      </w:pPr>
      <w:r>
        <w:rPr>
          <w:rFonts w:ascii="Times New Roman"/>
        </w:rPr>
        <w:t>环境表现</w:t>
      </w:r>
    </w:p>
    <w:p>
      <w:pPr>
        <w:pStyle w:val="53"/>
        <w:numPr>
          <w:ilvl w:val="3"/>
          <w:numId w:val="2"/>
        </w:numPr>
        <w:spacing w:before="156" w:after="156"/>
        <w:rPr>
          <w:rFonts w:ascii="Times New Roman"/>
        </w:rPr>
      </w:pPr>
      <w:r>
        <w:rPr>
          <w:rFonts w:ascii="Times New Roman"/>
        </w:rPr>
        <w:t>设备材料</w:t>
      </w:r>
    </w:p>
    <w:p>
      <w:pPr>
        <w:pStyle w:val="24"/>
        <w:rPr>
          <w:rFonts w:hint="eastAsia" w:ascii="宋体" w:hAnsi="宋体" w:eastAsia="宋体" w:cs="宋体"/>
          <w:lang w:eastAsia="zh-CN"/>
        </w:rPr>
      </w:pPr>
      <w:r>
        <w:rPr>
          <w:rFonts w:hint="eastAsia" w:hAnsi="宋体" w:cs="宋体"/>
        </w:rPr>
        <w:t>设备材料从企事业单位自身生产运营过程中，采用设备及原材料的绿色化水平进行评价。推荐优先选用列入国家节能、环保相关技术推荐目录的工艺技术和装备设备，推荐参照</w:t>
      </w:r>
      <w:r>
        <w:rPr>
          <w:rFonts w:hint="eastAsia" w:hAnsi="宋体" w:cs="宋体"/>
          <w:lang w:eastAsia="zh-CN"/>
        </w:rPr>
        <w:t>《</w:t>
      </w:r>
      <w:r>
        <w:rPr>
          <w:rFonts w:hint="eastAsia" w:hAnsi="宋体" w:cs="宋体"/>
        </w:rPr>
        <w:t>首台（套）重大技术装备推广应用指导目录</w:t>
      </w:r>
      <w:r>
        <w:rPr>
          <w:rFonts w:hint="eastAsia" w:hAnsi="宋体" w:cs="宋体"/>
          <w:lang w:eastAsia="zh-CN"/>
        </w:rPr>
        <w:t>》、</w:t>
      </w:r>
      <w:r>
        <w:rPr>
          <w:rFonts w:hint="eastAsia" w:ascii="宋体" w:hAnsi="宋体" w:eastAsia="宋体" w:cs="宋体"/>
          <w:b w:val="0"/>
          <w:bCs w:val="0"/>
          <w:i w:val="0"/>
          <w:iCs w:val="0"/>
          <w:caps w:val="0"/>
          <w:spacing w:val="0"/>
          <w:sz w:val="21"/>
          <w:szCs w:val="20"/>
        </w:rPr>
        <w:t>《广东省节能技术、设备（产品）推荐目录》</w:t>
      </w:r>
      <w:r>
        <w:rPr>
          <w:rFonts w:hint="eastAsia" w:hAnsi="宋体" w:cs="宋体"/>
          <w:b w:val="0"/>
          <w:bCs w:val="0"/>
          <w:i w:val="0"/>
          <w:iCs w:val="0"/>
          <w:caps w:val="0"/>
          <w:spacing w:val="0"/>
          <w:sz w:val="21"/>
          <w:szCs w:val="20"/>
          <w:lang w:eastAsia="zh-CN"/>
        </w:rPr>
        <w:t>、</w:t>
      </w:r>
      <w:r>
        <w:rPr>
          <w:rFonts w:hint="eastAsia" w:ascii="宋体" w:hAnsi="宋体" w:eastAsia="宋体" w:cs="宋体"/>
          <w:b w:val="0"/>
          <w:bCs w:val="0"/>
          <w:i w:val="0"/>
          <w:iCs w:val="0"/>
          <w:caps w:val="0"/>
          <w:spacing w:val="0"/>
          <w:sz w:val="21"/>
          <w:szCs w:val="20"/>
        </w:rPr>
        <w:t>《国家重点节能低碳技术推广目录》</w:t>
      </w:r>
      <w:r>
        <w:rPr>
          <w:rFonts w:hint="eastAsia" w:hAnsi="宋体" w:cs="宋体"/>
        </w:rPr>
        <w:t>《国家鼓励的有毒有害原料（产品）替代品目录》实现有毒有害原材料替代</w:t>
      </w:r>
      <w:r>
        <w:rPr>
          <w:rFonts w:hint="eastAsia" w:ascii="宋体" w:hAnsi="宋体" w:eastAsia="宋体" w:cs="宋体"/>
          <w:b w:val="0"/>
          <w:bCs w:val="0"/>
          <w:i w:val="0"/>
          <w:iCs w:val="0"/>
          <w:caps w:val="0"/>
          <w:spacing w:val="0"/>
          <w:sz w:val="21"/>
          <w:szCs w:val="20"/>
        </w:rPr>
        <w:t>及其他相关目录中的节能技术、生产工艺和用能设备</w:t>
      </w:r>
      <w:r>
        <w:rPr>
          <w:rFonts w:hint="eastAsia" w:hAnsi="宋体" w:cs="宋体"/>
        </w:rPr>
        <w:t>。具体评分规则见表</w:t>
      </w:r>
      <w:r>
        <w:rPr>
          <w:rFonts w:hint="eastAsia" w:hAnsi="宋体" w:cs="宋体"/>
          <w:lang w:val="en-US" w:eastAsia="zh-CN"/>
        </w:rPr>
        <w:t>15</w:t>
      </w:r>
      <w:r>
        <w:rPr>
          <w:rFonts w:hint="eastAsia" w:hAnsi="宋体" w:cs="宋体"/>
        </w:rPr>
        <w:t>。</w:t>
      </w:r>
    </w:p>
    <w:p>
      <w:pPr>
        <w:pStyle w:val="128"/>
        <w:rPr>
          <w:rFonts w:ascii="Times New Roman"/>
        </w:rPr>
      </w:pPr>
      <w:r>
        <w:rPr>
          <w:rFonts w:ascii="Times New Roman"/>
        </w:rPr>
        <w:t>设备材料评分规则表</w:t>
      </w:r>
    </w:p>
    <w:tbl>
      <w:tblPr>
        <w:tblStyle w:val="34"/>
        <w:tblW w:w="87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26"/>
        <w:gridCol w:w="1395"/>
        <w:gridCol w:w="1941"/>
        <w:gridCol w:w="1423"/>
        <w:gridCol w:w="13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2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设备绿色化水平</w:t>
            </w:r>
          </w:p>
        </w:tc>
        <w:tc>
          <w:tcPr>
            <w:tcW w:w="139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94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材料绿色化水平</w:t>
            </w:r>
          </w:p>
        </w:tc>
        <w:tc>
          <w:tcPr>
            <w:tcW w:w="142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31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2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推荐目录采购比例超过50%。</w:t>
            </w:r>
          </w:p>
        </w:tc>
        <w:tc>
          <w:tcPr>
            <w:tcW w:w="139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941"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全面实施无毒无害原材料替代。</w:t>
            </w:r>
          </w:p>
        </w:tc>
        <w:tc>
          <w:tcPr>
            <w:tcW w:w="1423"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316"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两</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2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推荐目录采购比例超过30%。</w:t>
            </w:r>
          </w:p>
        </w:tc>
        <w:tc>
          <w:tcPr>
            <w:tcW w:w="1395" w:type="dxa"/>
            <w:tcBorders>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0.5</w:t>
            </w:r>
          </w:p>
        </w:tc>
        <w:tc>
          <w:tcPr>
            <w:tcW w:w="1941"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部分实施无毒无害原材料替代。</w:t>
            </w:r>
          </w:p>
        </w:tc>
        <w:tc>
          <w:tcPr>
            <w:tcW w:w="142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1316" w:type="dxa"/>
            <w:vMerge w:val="continue"/>
            <w:tcBorders>
              <w:tl2br w:val="nil"/>
              <w:tr2bl w:val="nil"/>
            </w:tcBorders>
            <w:vAlign w:val="center"/>
          </w:tcPr>
          <w:p>
            <w:pPr>
              <w:pStyle w:val="24"/>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2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推荐目录采购比例未超过30%。</w:t>
            </w:r>
          </w:p>
        </w:tc>
        <w:tc>
          <w:tcPr>
            <w:tcW w:w="139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941"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未实施无毒无害原材料替代。</w:t>
            </w:r>
          </w:p>
        </w:tc>
        <w:tc>
          <w:tcPr>
            <w:tcW w:w="142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316" w:type="dxa"/>
            <w:vMerge w:val="continue"/>
            <w:tcBorders>
              <w:tl2br w:val="nil"/>
              <w:tr2bl w:val="nil"/>
            </w:tcBorders>
            <w:vAlign w:val="center"/>
          </w:tcPr>
          <w:p>
            <w:pPr>
              <w:pStyle w:val="24"/>
              <w:ind w:firstLine="0" w:firstLineChars="0"/>
              <w:rPr>
                <w:rFonts w:hAnsi="宋体" w:cs="宋体"/>
                <w:sz w:val="18"/>
                <w:szCs w:val="18"/>
              </w:rPr>
            </w:pPr>
          </w:p>
        </w:tc>
      </w:tr>
    </w:tbl>
    <w:p>
      <w:pPr>
        <w:pStyle w:val="53"/>
        <w:numPr>
          <w:ilvl w:val="3"/>
          <w:numId w:val="2"/>
        </w:numPr>
        <w:spacing w:before="156" w:after="156"/>
        <w:rPr>
          <w:rFonts w:ascii="Times New Roman"/>
        </w:rPr>
      </w:pPr>
      <w:r>
        <w:rPr>
          <w:rFonts w:ascii="Times New Roman"/>
        </w:rPr>
        <w:t>能源资源利用</w:t>
      </w:r>
    </w:p>
    <w:p>
      <w:pPr>
        <w:pStyle w:val="57"/>
        <w:spacing w:before="156" w:after="156"/>
        <w:rPr>
          <w:highlight w:val="none"/>
        </w:rPr>
      </w:pPr>
      <w:r>
        <w:rPr>
          <w:rFonts w:hint="eastAsia"/>
          <w:highlight w:val="none"/>
          <w:lang w:eastAsia="zh-CN"/>
        </w:rPr>
        <w:t>能耗</w:t>
      </w:r>
    </w:p>
    <w:p>
      <w:pPr>
        <w:pStyle w:val="58"/>
        <w:numPr>
          <w:ilvl w:val="-1"/>
          <w:numId w:val="0"/>
        </w:numPr>
        <w:spacing w:before="156" w:beforeLines="50" w:after="156" w:afterLines="50"/>
        <w:ind w:left="0" w:firstLine="420" w:firstLineChars="200"/>
        <w:outlineLvl w:val="4"/>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能耗是指从企事业单位自身生产或产品待机等过程，对能源消耗量大小进行评价的指标。具体评分规则见表16-表17。</w:t>
      </w:r>
    </w:p>
    <w:p>
      <w:pPr>
        <w:numPr>
          <w:ilvl w:val="0"/>
          <w:numId w:val="17"/>
        </w:numPr>
        <w:spacing w:before="156" w:beforeLines="50" w:after="156" w:afterLines="50"/>
        <w:ind w:left="0" w:firstLine="0"/>
        <w:jc w:val="center"/>
        <w:rPr>
          <w:rFonts w:hint="eastAsia"/>
          <w:lang w:val="en-US" w:eastAsia="zh-CN"/>
        </w:rPr>
      </w:pPr>
      <w:r>
        <w:rPr>
          <w:rFonts w:hint="eastAsia" w:eastAsia="黑体" w:cs="Times New Roman"/>
          <w:sz w:val="21"/>
          <w:highlight w:val="none"/>
          <w:lang w:val="en-US" w:eastAsia="zh-CN" w:bidi="ar-SA"/>
        </w:rPr>
        <w:t>生产制造类能耗</w:t>
      </w:r>
      <w:r>
        <w:rPr>
          <w:rFonts w:ascii="Times New Roman" w:hAnsi="Times New Roman" w:eastAsia="黑体" w:cs="Times New Roman"/>
          <w:sz w:val="21"/>
          <w:highlight w:val="none"/>
          <w:lang w:val="en-US" w:eastAsia="zh-CN" w:bidi="ar-SA"/>
        </w:rPr>
        <w:t>评分规则表</w:t>
      </w:r>
    </w:p>
    <w:tbl>
      <w:tblPr>
        <w:tblStyle w:val="34"/>
        <w:tblW w:w="849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64"/>
        <w:gridCol w:w="1950"/>
        <w:gridCol w:w="1950"/>
        <w:gridCol w:w="142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64"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直流充电机损耗（W）</w:t>
            </w:r>
          </w:p>
        </w:tc>
        <w:tc>
          <w:tcPr>
            <w:tcW w:w="195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交流充电桩损耗（W）</w:t>
            </w:r>
          </w:p>
        </w:tc>
        <w:tc>
          <w:tcPr>
            <w:tcW w:w="195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其他</w:t>
            </w:r>
          </w:p>
        </w:tc>
        <w:tc>
          <w:tcPr>
            <w:tcW w:w="1429"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64"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sz w:val="18"/>
                <w:szCs w:val="18"/>
                <w:highlight w:val="none"/>
                <w:vertAlign w:val="baseline"/>
                <w:lang w:val="en-US" w:eastAsia="zh-CN"/>
              </w:rPr>
              <w:t>（0,n×40</w:t>
            </w:r>
            <w:r>
              <w:rPr>
                <w:rFonts w:hint="eastAsia" w:ascii="Times New Roman" w:eastAsia="宋体"/>
                <w:sz w:val="18"/>
                <w:szCs w:val="18"/>
                <w:highlight w:val="none"/>
                <w:vertAlign w:val="baseline"/>
                <w:lang w:val="en-US" w:eastAsia="zh-CN"/>
              </w:rPr>
              <w:t>)</w:t>
            </w:r>
          </w:p>
        </w:tc>
        <w:tc>
          <w:tcPr>
            <w:tcW w:w="1950" w:type="dxa"/>
            <w:tcBorders>
              <w:top w:val="single" w:color="auto" w:sz="8" w:space="0"/>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r>
              <w:rPr>
                <w:rFonts w:hint="eastAsia"/>
                <w:sz w:val="18"/>
                <w:szCs w:val="18"/>
                <w:highlight w:val="none"/>
                <w:vertAlign w:val="baseline"/>
                <w:lang w:val="en-US" w:eastAsia="zh-CN"/>
              </w:rPr>
              <w:t>（0,10</w:t>
            </w:r>
            <w:r>
              <w:rPr>
                <w:rFonts w:hint="eastAsia" w:ascii="Times New Roman" w:eastAsia="宋体"/>
                <w:sz w:val="18"/>
                <w:szCs w:val="18"/>
                <w:highlight w:val="none"/>
                <w:vertAlign w:val="baseline"/>
                <w:lang w:val="en-US" w:eastAsia="zh-CN"/>
              </w:rPr>
              <w:t>)</w:t>
            </w:r>
          </w:p>
        </w:tc>
        <w:tc>
          <w:tcPr>
            <w:tcW w:w="1950" w:type="dxa"/>
            <w:vMerge w:val="restart"/>
            <w:tcBorders>
              <w:top w:val="single" w:color="auto" w:sz="8" w:space="0"/>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r>
              <w:rPr>
                <w:rFonts w:hint="eastAsia" w:ascii="宋体" w:hAnsi="宋体" w:eastAsia="宋体" w:cs="宋体"/>
                <w:kern w:val="0"/>
                <w:sz w:val="18"/>
                <w:szCs w:val="18"/>
                <w:highlight w:val="none"/>
                <w:lang w:val="en-US" w:eastAsia="zh-CN" w:bidi="ar-SA"/>
              </w:rPr>
              <w:t>列出国家标准生产值，并出具产品</w:t>
            </w:r>
            <w:r>
              <w:rPr>
                <w:rFonts w:hint="eastAsia" w:ascii="宋体" w:hAnsi="宋体" w:cs="宋体"/>
                <w:kern w:val="0"/>
                <w:sz w:val="18"/>
                <w:szCs w:val="18"/>
                <w:highlight w:val="none"/>
                <w:lang w:val="en-US" w:eastAsia="zh-CN" w:bidi="ar-SA"/>
              </w:rPr>
              <w:t>、装备等</w:t>
            </w:r>
            <w:r>
              <w:rPr>
                <w:rFonts w:hint="eastAsia" w:ascii="宋体" w:hAnsi="宋体" w:eastAsia="宋体" w:cs="宋体"/>
                <w:kern w:val="0"/>
                <w:sz w:val="18"/>
                <w:szCs w:val="18"/>
                <w:highlight w:val="none"/>
                <w:lang w:val="en-US" w:eastAsia="zh-CN" w:bidi="ar-SA"/>
              </w:rPr>
              <w:t>能耗书面说明</w:t>
            </w:r>
            <w:r>
              <w:rPr>
                <w:rFonts w:hint="eastAsia" w:ascii="宋体" w:hAnsi="宋体" w:cs="宋体"/>
                <w:kern w:val="0"/>
                <w:sz w:val="18"/>
                <w:szCs w:val="18"/>
                <w:highlight w:val="none"/>
                <w:lang w:val="en-US" w:eastAsia="zh-CN" w:bidi="ar-SA"/>
              </w:rPr>
              <w:t>。</w:t>
            </w:r>
          </w:p>
        </w:tc>
        <w:tc>
          <w:tcPr>
            <w:tcW w:w="1429"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64"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n×40,n×45</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10,12</w:t>
            </w:r>
            <w:r>
              <w:rPr>
                <w:rFonts w:hint="eastAsia" w:ascii="Times New Roman" w:eastAsia="宋体"/>
                <w:sz w:val="18"/>
                <w:szCs w:val="18"/>
                <w:highlight w:val="none"/>
                <w:vertAlign w:val="baseline"/>
                <w:lang w:val="en-US" w:eastAsia="zh-CN"/>
              </w:rPr>
              <w:t>)</w:t>
            </w:r>
          </w:p>
        </w:tc>
        <w:tc>
          <w:tcPr>
            <w:tcW w:w="1950" w:type="dxa"/>
            <w:vMerge w:val="continue"/>
            <w:tcBorders>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p>
        </w:tc>
        <w:tc>
          <w:tcPr>
            <w:tcW w:w="142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64"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n×45,n×50</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default" w:ascii="宋体" w:hAnsi="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12,15</w:t>
            </w:r>
            <w:r>
              <w:rPr>
                <w:rFonts w:hint="eastAsia" w:ascii="Times New Roman" w:eastAsia="宋体"/>
                <w:sz w:val="18"/>
                <w:szCs w:val="18"/>
                <w:highlight w:val="none"/>
                <w:vertAlign w:val="baseline"/>
                <w:lang w:val="en-US" w:eastAsia="zh-CN"/>
              </w:rPr>
              <w:t>)</w:t>
            </w:r>
          </w:p>
        </w:tc>
        <w:tc>
          <w:tcPr>
            <w:tcW w:w="1950" w:type="dxa"/>
            <w:vMerge w:val="continue"/>
            <w:tcBorders>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p>
        </w:tc>
        <w:tc>
          <w:tcPr>
            <w:tcW w:w="142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64" w:type="dxa"/>
            <w:tcBorders>
              <w:tl2br w:val="nil"/>
              <w:tr2bl w:val="nil"/>
            </w:tcBorders>
            <w:vAlign w:val="center"/>
          </w:tcPr>
          <w:p>
            <w:pPr>
              <w:autoSpaceDE w:val="0"/>
              <w:autoSpaceDN w:val="0"/>
              <w:ind w:firstLine="0" w:firstLineChars="0"/>
              <w:jc w:val="center"/>
              <w:rPr>
                <w:rFonts w:hint="default" w:ascii="Times New Roman" w:eastAsia="宋体"/>
                <w:sz w:val="18"/>
                <w:szCs w:val="18"/>
                <w:highlight w:val="none"/>
                <w:vertAlign w:val="baseline"/>
                <w:lang w:val="en-US" w:eastAsia="zh-CN"/>
              </w:rPr>
            </w:pPr>
            <w:r>
              <w:rPr>
                <w:rFonts w:hint="eastAsia"/>
                <w:sz w:val="18"/>
                <w:szCs w:val="18"/>
                <w:highlight w:val="none"/>
                <w:vertAlign w:val="baseline"/>
                <w:lang w:val="en-US" w:eastAsia="zh-CN"/>
              </w:rPr>
              <w:t>＞n×50</w:t>
            </w:r>
          </w:p>
        </w:tc>
        <w:tc>
          <w:tcPr>
            <w:tcW w:w="1950" w:type="dxa"/>
            <w:tcBorders>
              <w:tl2br w:val="nil"/>
              <w:tr2bl w:val="nil"/>
            </w:tcBorders>
            <w:vAlign w:val="center"/>
          </w:tcPr>
          <w:p>
            <w:pPr>
              <w:autoSpaceDE w:val="0"/>
              <w:autoSpaceDN w:val="0"/>
              <w:ind w:firstLine="0" w:firstLineChars="0"/>
              <w:jc w:val="center"/>
              <w:rPr>
                <w:rFonts w:hint="default" w:ascii="宋体" w:hAnsi="宋体" w:cs="宋体"/>
                <w:sz w:val="18"/>
                <w:szCs w:val="18"/>
                <w:highlight w:val="none"/>
                <w:lang w:val="en-US" w:eastAsia="zh-CN" w:bidi="ar-SA"/>
              </w:rPr>
            </w:pPr>
            <w:r>
              <w:rPr>
                <w:rFonts w:hint="eastAsia" w:ascii="宋体" w:hAnsi="宋体" w:cs="宋体"/>
                <w:sz w:val="18"/>
                <w:szCs w:val="18"/>
                <w:highlight w:val="none"/>
                <w:lang w:val="en-US" w:eastAsia="zh-CN" w:bidi="ar-SA"/>
              </w:rPr>
              <w:t>≥15</w:t>
            </w:r>
          </w:p>
        </w:tc>
        <w:tc>
          <w:tcPr>
            <w:tcW w:w="1950" w:type="dxa"/>
            <w:vMerge w:val="continue"/>
            <w:tcBorders>
              <w:tl2br w:val="nil"/>
              <w:tr2bl w:val="nil"/>
            </w:tcBorders>
            <w:vAlign w:val="center"/>
          </w:tcPr>
          <w:p>
            <w:pPr>
              <w:autoSpaceDE w:val="0"/>
              <w:autoSpaceDN w:val="0"/>
              <w:ind w:firstLine="0" w:firstLineChars="0"/>
              <w:jc w:val="center"/>
              <w:rPr>
                <w:rFonts w:hint="eastAsia" w:ascii="宋体" w:hAnsi="宋体" w:cs="宋体"/>
                <w:sz w:val="18"/>
                <w:szCs w:val="18"/>
                <w:highlight w:val="none"/>
                <w:lang w:val="en-US" w:eastAsia="zh-CN" w:bidi="ar-SA"/>
              </w:rPr>
            </w:pPr>
          </w:p>
        </w:tc>
        <w:tc>
          <w:tcPr>
            <w:tcW w:w="1429" w:type="dxa"/>
            <w:tcBorders>
              <w:tl2br w:val="nil"/>
              <w:tr2bl w:val="nil"/>
            </w:tcBorders>
            <w:vAlign w:val="center"/>
          </w:tcPr>
          <w:p>
            <w:pPr>
              <w:autoSpaceDE w:val="0"/>
              <w:autoSpaceDN w:val="0"/>
              <w:ind w:firstLine="0" w:firstLineChars="0"/>
              <w:jc w:val="center"/>
              <w:rPr>
                <w:rFonts w:hint="default" w:ascii="宋体" w:hAnsi="宋体" w:cs="宋体"/>
                <w:sz w:val="18"/>
                <w:szCs w:val="18"/>
                <w:highlight w:val="none"/>
                <w:lang w:val="en-US" w:eastAsia="zh-CN" w:bidi="ar-SA"/>
              </w:rPr>
            </w:pPr>
            <w:r>
              <w:rPr>
                <w:rFonts w:hint="eastAsia" w:ascii="宋体" w:hAnsi="宋体" w:cs="宋体"/>
                <w:sz w:val="18"/>
                <w:szCs w:val="18"/>
                <w:highlight w:val="none"/>
                <w:lang w:val="en-US" w:eastAsia="zh-CN" w:bidi="ar-SA"/>
              </w:rPr>
              <w:t>0</w:t>
            </w:r>
          </w:p>
        </w:tc>
      </w:tr>
    </w:tbl>
    <w:p>
      <w:pPr>
        <w:numPr>
          <w:ilvl w:val="0"/>
          <w:numId w:val="9"/>
        </w:numPr>
        <w:spacing w:before="156" w:after="156"/>
        <w:ind w:left="780" w:leftChars="200" w:hanging="360" w:hangingChars="200"/>
        <w:jc w:val="both"/>
        <w:rPr>
          <w:rFonts w:hint="default" w:ascii="宋体"/>
          <w:sz w:val="18"/>
          <w:szCs w:val="18"/>
          <w:highlight w:val="none"/>
          <w:lang w:val="en-US" w:eastAsia="zh-CN"/>
        </w:rPr>
      </w:pPr>
      <w:r>
        <w:rPr>
          <w:rFonts w:hint="default" w:ascii="宋体"/>
          <w:sz w:val="18"/>
          <w:szCs w:val="18"/>
          <w:highlight w:val="none"/>
          <w:lang w:val="en-US" w:eastAsia="zh-CN"/>
        </w:rPr>
        <w:t>上表中的“n”为充电接口数量</w:t>
      </w:r>
      <w:r>
        <w:rPr>
          <w:rFonts w:hint="eastAsia" w:ascii="宋体"/>
          <w:sz w:val="18"/>
          <w:szCs w:val="18"/>
          <w:highlight w:val="none"/>
          <w:lang w:val="en-US" w:eastAsia="zh-CN"/>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建设运营类能耗</w:t>
      </w:r>
      <w:r>
        <w:rPr>
          <w:rFonts w:ascii="Times New Roman" w:hAnsi="Times New Roman" w:eastAsia="黑体" w:cs="Times New Roman"/>
          <w:sz w:val="21"/>
          <w:highlight w:val="none"/>
          <w:lang w:val="en-US" w:eastAsia="zh-CN" w:bidi="ar-SA"/>
        </w:rPr>
        <w:t>评分规则表</w:t>
      </w:r>
    </w:p>
    <w:tbl>
      <w:tblPr>
        <w:tblStyle w:val="34"/>
        <w:tblW w:w="55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595"/>
        <w:gridCol w:w="19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系统损耗（%）</w:t>
            </w:r>
          </w:p>
        </w:tc>
        <w:tc>
          <w:tcPr>
            <w:tcW w:w="195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cs="宋体"/>
                <w:sz w:val="18"/>
                <w:szCs w:val="18"/>
                <w:lang w:eastAsia="zh-CN"/>
              </w:rPr>
              <w:t>＜</w:t>
            </w:r>
            <w:r>
              <w:rPr>
                <w:rFonts w:hint="eastAsia" w:ascii="宋体" w:hAnsi="宋体" w:cs="宋体"/>
                <w:sz w:val="18"/>
                <w:szCs w:val="18"/>
                <w:lang w:val="en-US" w:eastAsia="zh-CN"/>
              </w:rPr>
              <w:t>10%</w:t>
            </w:r>
          </w:p>
        </w:tc>
        <w:tc>
          <w:tcPr>
            <w:tcW w:w="195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15</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15</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20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hint="eastAsia" w:ascii="Times New Roman" w:eastAsia="宋体"/>
                <w:sz w:val="18"/>
                <w:szCs w:val="18"/>
                <w:highlight w:val="none"/>
                <w:vertAlign w:val="baseline"/>
                <w:lang w:val="en-US" w:eastAsia="zh-CN"/>
              </w:rPr>
            </w:pP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20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60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default" w:ascii="宋体" w:hAnsi="宋体" w:cs="宋体"/>
                <w:sz w:val="18"/>
                <w:szCs w:val="18"/>
                <w:highlight w:val="none"/>
                <w:lang w:val="en-US" w:eastAsia="zh-CN" w:bidi="ar-SA"/>
              </w:rPr>
            </w:pPr>
            <w:r>
              <w:rPr>
                <w:rFonts w:hint="eastAsia" w:ascii="宋体" w:hAnsi="宋体" w:cs="宋体"/>
                <w:sz w:val="18"/>
                <w:szCs w:val="18"/>
                <w:highlight w:val="none"/>
                <w:lang w:val="en-US" w:eastAsia="zh-CN" w:bidi="ar-SA"/>
              </w:rPr>
              <w:t>0</w:t>
            </w:r>
          </w:p>
        </w:tc>
      </w:tr>
    </w:tbl>
    <w:p>
      <w:pPr>
        <w:widowControl w:val="0"/>
        <w:numPr>
          <w:ilvl w:val="0"/>
          <w:numId w:val="9"/>
        </w:numPr>
        <w:autoSpaceDE w:val="0"/>
        <w:autoSpaceDN w:val="0"/>
        <w:spacing w:before="156" w:after="156"/>
        <w:ind w:left="780" w:leftChars="200" w:hanging="360" w:hangingChars="200"/>
        <w:jc w:val="both"/>
        <w:rPr>
          <w:rFonts w:hint="eastAsia" w:ascii="Times New Roman" w:hAnsi="Times New Roman" w:eastAsia="黑体" w:cs="Times New Roman"/>
          <w:sz w:val="18"/>
          <w:szCs w:val="18"/>
          <w:lang w:val="en-US" w:eastAsia="zh-CN" w:bidi="ar-SA"/>
        </w:rPr>
      </w:pPr>
      <w:r>
        <w:rPr>
          <w:rFonts w:hint="default" w:ascii="宋体" w:hAnsi="Times New Roman" w:eastAsia="宋体" w:cs="Times New Roman"/>
          <w:sz w:val="18"/>
          <w:szCs w:val="18"/>
          <w:highlight w:val="none"/>
          <w:lang w:val="en-US" w:eastAsia="zh-CN" w:bidi="ar-SA"/>
        </w:rPr>
        <w:t>该项</w:t>
      </w:r>
      <w:r>
        <w:rPr>
          <w:rFonts w:hint="eastAsia" w:ascii="Times New Roman" w:hAnsi="Times New Roman" w:eastAsia="宋体" w:cs="Times New Roman"/>
          <w:sz w:val="18"/>
          <w:szCs w:val="18"/>
          <w:lang w:val="en-US" w:eastAsia="zh-CN" w:bidi="ar-SA"/>
        </w:rPr>
        <w:t>得分为单项最高得分。</w:t>
      </w:r>
    </w:p>
    <w:p>
      <w:pPr>
        <w:pStyle w:val="57"/>
        <w:spacing w:before="156" w:after="156"/>
        <w:rPr>
          <w:rFonts w:hint="default" w:ascii="宋体" w:hAnsi="宋体" w:cs="宋体"/>
          <w:sz w:val="21"/>
          <w:highlight w:val="none"/>
          <w:lang w:val="en-US" w:eastAsia="zh-CN" w:bidi="ar-SA"/>
        </w:rPr>
      </w:pPr>
      <w:r>
        <w:rPr>
          <w:rFonts w:hint="eastAsia" w:ascii="宋体" w:hAnsi="宋体" w:cs="宋体"/>
          <w:sz w:val="21"/>
          <w:highlight w:val="none"/>
          <w:lang w:val="en-US" w:eastAsia="zh-CN" w:bidi="ar-SA"/>
        </w:rPr>
        <w:t>可再生利用率</w:t>
      </w:r>
    </w:p>
    <w:p>
      <w:pPr>
        <w:autoSpaceDE w:val="0"/>
        <w:autoSpaceDN w:val="0"/>
        <w:ind w:firstLine="420" w:firstLineChars="200"/>
        <w:jc w:val="both"/>
        <w:rPr>
          <w:rFonts w:hint="eastAsia" w:ascii="宋体" w:hAnsi="宋体" w:eastAsia="宋体" w:cs="宋体"/>
          <w:sz w:val="21"/>
          <w:highlight w:val="none"/>
          <w:lang w:val="en-US" w:eastAsia="zh-CN" w:bidi="ar-SA"/>
        </w:rPr>
      </w:pPr>
      <w:r>
        <w:rPr>
          <w:rFonts w:hint="eastAsia" w:ascii="宋体" w:hAnsi="宋体" w:cs="宋体"/>
          <w:sz w:val="21"/>
          <w:highlight w:val="none"/>
          <w:lang w:val="en-US" w:eastAsia="zh-CN" w:bidi="ar-SA"/>
        </w:rPr>
        <w:t>可再生利用率是指预期能够被再使用部分与再生利用部分的质量之和（不包括能量回收部分）与产品总质量的百分比</w:t>
      </w:r>
      <w:r>
        <w:rPr>
          <w:rFonts w:hint="eastAsia" w:ascii="宋体" w:hAnsi="宋体" w:eastAsia="宋体" w:cs="宋体"/>
          <w:sz w:val="21"/>
          <w:highlight w:val="none"/>
          <w:lang w:val="en-US" w:eastAsia="zh-CN" w:bidi="ar-SA"/>
        </w:rPr>
        <w:t>。具体评分规则见表</w:t>
      </w:r>
      <w:r>
        <w:rPr>
          <w:rFonts w:hint="eastAsia" w:ascii="宋体" w:hAnsi="宋体" w:cs="宋体"/>
          <w:sz w:val="21"/>
          <w:highlight w:val="none"/>
          <w:lang w:val="en-US" w:eastAsia="zh-CN" w:bidi="ar-SA"/>
        </w:rPr>
        <w:t>18</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可再生</w:t>
      </w:r>
      <w:r>
        <w:rPr>
          <w:rFonts w:hint="eastAsia" w:ascii="Times New Roman" w:hAnsi="Times New Roman" w:eastAsia="黑体" w:cs="Times New Roman"/>
          <w:sz w:val="21"/>
          <w:highlight w:val="none"/>
          <w:lang w:val="en-US" w:eastAsia="zh-CN" w:bidi="ar-SA"/>
        </w:rPr>
        <w:t>利用率</w:t>
      </w:r>
      <w:r>
        <w:rPr>
          <w:rFonts w:ascii="Times New Roman" w:hAnsi="Times New Roman" w:eastAsia="黑体" w:cs="Times New Roman"/>
          <w:sz w:val="21"/>
          <w:highlight w:val="none"/>
          <w:lang w:val="en-US" w:eastAsia="zh-CN" w:bidi="ar-SA"/>
        </w:rPr>
        <w:t>评分规则表</w:t>
      </w:r>
    </w:p>
    <w:tbl>
      <w:tblPr>
        <w:tblStyle w:val="35"/>
        <w:tblW w:w="39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可再生利用率评价值</w:t>
            </w:r>
          </w:p>
        </w:tc>
        <w:tc>
          <w:tcPr>
            <w:tcW w:w="956"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w:t>
            </w:r>
            <w:r>
              <w:rPr>
                <w:rFonts w:hint="eastAsia" w:ascii="宋体" w:hAnsi="宋体" w:cs="宋体"/>
                <w:sz w:val="18"/>
                <w:szCs w:val="18"/>
                <w:highlight w:val="none"/>
                <w:lang w:val="en-US" w:eastAsia="zh-CN" w:bidi="ar-SA"/>
              </w:rPr>
              <w:t>30</w:t>
            </w:r>
            <w:r>
              <w:rPr>
                <w:rFonts w:hint="eastAsia" w:ascii="宋体" w:hAnsi="宋体" w:eastAsia="宋体" w:cs="宋体"/>
                <w:sz w:val="18"/>
                <w:szCs w:val="18"/>
                <w:highlight w:val="none"/>
                <w:lang w:val="en-US" w:eastAsia="zh-CN" w:bidi="ar-SA"/>
              </w:rPr>
              <w:t>%</w:t>
            </w:r>
          </w:p>
        </w:tc>
        <w:tc>
          <w:tcPr>
            <w:tcW w:w="956"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sz w:val="18"/>
                <w:szCs w:val="18"/>
                <w:highlight w:val="none"/>
                <w:vertAlign w:val="baseline"/>
                <w:lang w:val="en-US" w:eastAsia="zh-CN"/>
              </w:rPr>
              <w:t>[10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，30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，10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污染物</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w:t>
      </w:r>
      <w:r>
        <w:rPr>
          <w:rFonts w:hint="eastAsia" w:ascii="宋体" w:hAnsi="宋体" w:cs="宋体"/>
          <w:sz w:val="21"/>
          <w:highlight w:val="none"/>
          <w:lang w:val="en-US" w:eastAsia="zh-CN" w:bidi="ar-SA"/>
        </w:rPr>
        <w:t>19</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污染物</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864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610"/>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61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污染物排放水平</w:t>
            </w:r>
          </w:p>
        </w:tc>
        <w:tc>
          <w:tcPr>
            <w:tcW w:w="1038"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610"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038"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610"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p>
        </w:tc>
        <w:tc>
          <w:tcPr>
            <w:tcW w:w="1038"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610"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38"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温室气体</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sz w:val="21"/>
          <w:highlight w:val="none"/>
          <w:lang w:val="en-US" w:eastAsia="zh-CN" w:bidi="ar-SA"/>
        </w:rPr>
        <w:t>20</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温室气体</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80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929"/>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29"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温室气体排放水平</w:t>
            </w:r>
          </w:p>
        </w:tc>
        <w:tc>
          <w:tcPr>
            <w:tcW w:w="108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29"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建设运营类企业碳排放强度相较上一年度的下降比例超过3%。</w:t>
            </w:r>
          </w:p>
        </w:tc>
        <w:tc>
          <w:tcPr>
            <w:tcW w:w="108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29"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生产制造类企业碳排放强度相较上一年度的下降比例超过3%、不足6%。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建设运营类企业碳排放强度相较上一年度的下降比例超过1%、不足3%。</w:t>
            </w:r>
          </w:p>
        </w:tc>
        <w:tc>
          <w:tcPr>
            <w:tcW w:w="108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929"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80"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66"/>
        <w:ind w:left="780" w:leftChars="200" w:hanging="360" w:hangingChars="200"/>
        <w:rPr>
          <w:rFonts w:ascii="Times New Roman"/>
        </w:rPr>
      </w:pPr>
      <w:r>
        <w:rPr>
          <w:rFonts w:ascii="宋体" w:hAnsi="Times New Roman" w:eastAsia="宋体" w:cs="Times New Roman"/>
          <w:sz w:val="18"/>
          <w:szCs w:val="18"/>
          <w:highlight w:val="none"/>
          <w:lang w:val="en-US" w:eastAsia="zh-CN" w:bidi="ar-SA"/>
        </w:rPr>
        <w:t>a</w:t>
      </w:r>
      <w:r>
        <w:rPr>
          <w:rFonts w:hint="eastAsia" w:ascii="宋体" w:hAnsi="Times New Roman" w:eastAsia="宋体" w:cs="Times New Roman"/>
          <w:sz w:val="18"/>
          <w:szCs w:val="18"/>
          <w:highlight w:val="none"/>
          <w:lang w:val="en-US" w:eastAsia="zh-CN" w:bidi="ar-SA"/>
        </w:rPr>
        <w:t>）</w:t>
      </w:r>
      <w:r>
        <w:rPr>
          <w:rFonts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碳排放总量</w:t>
      </w:r>
      <w:r>
        <w:rPr>
          <w:rFonts w:ascii="宋体" w:hAnsi="Times New Roman" w:eastAsia="宋体" w:cs="Times New Roman"/>
          <w:sz w:val="18"/>
          <w:szCs w:val="18"/>
          <w:highlight w:val="none"/>
          <w:lang w:val="en-US" w:eastAsia="zh-CN" w:bidi="ar-SA"/>
        </w:rPr>
        <w:t>与工业增加值的比值</w:t>
      </w:r>
      <w:r>
        <w:rPr>
          <w:rFonts w:hint="eastAsia" w:ascii="宋体" w:hAnsi="Times New Roman" w:eastAsia="宋体" w:cs="Times New Roman"/>
          <w:sz w:val="18"/>
          <w:szCs w:val="18"/>
          <w:highlight w:val="none"/>
          <w:lang w:val="en-US" w:eastAsia="zh-CN" w:bidi="ar-SA"/>
        </w:rPr>
        <w:t>。</w:t>
      </w:r>
    </w:p>
    <w:p>
      <w:pPr>
        <w:pStyle w:val="48"/>
        <w:spacing w:before="156" w:after="156"/>
        <w:rPr>
          <w:rFonts w:ascii="Times New Roman"/>
        </w:rPr>
      </w:pPr>
      <w:r>
        <w:rPr>
          <w:rFonts w:ascii="Times New Roman"/>
        </w:rPr>
        <w:t>社会表现</w:t>
      </w:r>
    </w:p>
    <w:p>
      <w:pPr>
        <w:pStyle w:val="53"/>
        <w:numPr>
          <w:ilvl w:val="3"/>
          <w:numId w:val="2"/>
        </w:numPr>
        <w:spacing w:before="156" w:after="156"/>
        <w:rPr>
          <w:rFonts w:ascii="Times New Roman"/>
        </w:rPr>
      </w:pPr>
      <w:r>
        <w:rPr>
          <w:rFonts w:ascii="Times New Roman"/>
        </w:rPr>
        <w:t>内部行动</w:t>
      </w:r>
    </w:p>
    <w:p>
      <w:pPr>
        <w:pStyle w:val="24"/>
        <w:rPr>
          <w:rFonts w:ascii="Times New Roman"/>
        </w:rPr>
      </w:pPr>
      <w:r>
        <w:rPr>
          <w:rFonts w:hint="eastAsia" w:hAnsi="宋体" w:cs="宋体"/>
        </w:rPr>
        <w:t>内部行动从企事业单位开展</w:t>
      </w:r>
      <w:r>
        <w:rPr>
          <w:rFonts w:hint="eastAsia" w:hAnsi="宋体" w:cs="宋体"/>
          <w:lang w:eastAsia="zh-CN"/>
        </w:rPr>
        <w:t>绿色发展行动</w:t>
      </w:r>
      <w:r>
        <w:rPr>
          <w:rFonts w:hint="eastAsia" w:hAnsi="宋体" w:cs="宋体"/>
        </w:rPr>
        <w:t>、信息披露以及低碳培训的情况进行评价。绿色发展</w:t>
      </w:r>
      <w:r>
        <w:rPr>
          <w:rFonts w:hint="eastAsia" w:hAnsi="宋体" w:cs="宋体"/>
          <w:highlight w:val="none"/>
        </w:rPr>
        <w:t>行动包括编制发布资源节约、环境友好、生态良好相关</w:t>
      </w:r>
      <w:r>
        <w:rPr>
          <w:rFonts w:hint="eastAsia" w:hAnsi="宋体" w:cs="宋体"/>
          <w:highlight w:val="none"/>
          <w:lang w:eastAsia="zh-CN"/>
        </w:rPr>
        <w:t>绿色低碳产业</w:t>
      </w:r>
      <w:r>
        <w:rPr>
          <w:rFonts w:hint="eastAsia" w:hAnsi="宋体" w:cs="宋体"/>
          <w:highlight w:val="none"/>
        </w:rPr>
        <w:t>转型蓝皮书等文件，或创建近零碳排放试点、编制发布碳中和规划或行动方案等碳达峰碳中和建设相关行动</w:t>
      </w:r>
      <w:r>
        <w:rPr>
          <w:rFonts w:hint="eastAsia" w:hAnsi="宋体" w:cs="宋体"/>
          <w:lang w:eastAsia="zh-CN"/>
        </w:rPr>
        <w:t>。</w:t>
      </w:r>
      <w:r>
        <w:rPr>
          <w:rFonts w:hint="eastAsia" w:hAnsi="宋体" w:cs="宋体"/>
        </w:rPr>
        <w:t>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2</w:t>
      </w:r>
      <w:r>
        <w:rPr>
          <w:rFonts w:hint="eastAsia" w:hAnsi="宋体" w:cs="宋体"/>
          <w:lang w:val="en-US" w:eastAsia="zh-CN"/>
        </w:rPr>
        <w:t>1</w:t>
      </w:r>
      <w:r>
        <w:rPr>
          <w:rFonts w:hint="eastAsia" w:hAnsi="宋体" w:cs="宋体"/>
        </w:rPr>
        <w:t>。</w:t>
      </w:r>
    </w:p>
    <w:p>
      <w:pPr>
        <w:pStyle w:val="128"/>
        <w:rPr>
          <w:rFonts w:ascii="Times New Roman"/>
        </w:rPr>
      </w:pPr>
      <w:r>
        <w:rPr>
          <w:rFonts w:ascii="Times New Roman"/>
        </w:rPr>
        <w:t>内部行动评分规则表</w:t>
      </w:r>
    </w:p>
    <w:tbl>
      <w:tblPr>
        <w:tblStyle w:val="34"/>
        <w:tblW w:w="82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4313"/>
        <w:gridCol w:w="1183"/>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内部行动</w:t>
            </w:r>
          </w:p>
        </w:tc>
        <w:tc>
          <w:tcPr>
            <w:tcW w:w="431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开展情况</w:t>
            </w:r>
          </w:p>
        </w:tc>
        <w:tc>
          <w:tcPr>
            <w:tcW w:w="118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743"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eastAsia="zh-CN"/>
              </w:rPr>
              <w:t>绿色发展行动</w:t>
            </w:r>
          </w:p>
        </w:tc>
        <w:tc>
          <w:tcPr>
            <w:tcW w:w="4313" w:type="dxa"/>
            <w:tcBorders>
              <w:top w:val="single" w:color="auto" w:sz="8" w:space="0"/>
              <w:tl2br w:val="nil"/>
              <w:tr2bl w:val="nil"/>
            </w:tcBorders>
            <w:vAlign w:val="center"/>
          </w:tcPr>
          <w:p>
            <w:pPr>
              <w:pStyle w:val="24"/>
              <w:ind w:firstLine="0" w:firstLineChars="0"/>
              <w:jc w:val="left"/>
              <w:rPr>
                <w:rFonts w:hAnsi="宋体" w:cs="宋体"/>
                <w:sz w:val="18"/>
                <w:szCs w:val="18"/>
              </w:rPr>
            </w:pPr>
            <w:r>
              <w:rPr>
                <w:rFonts w:hint="default" w:hAnsi="宋体" w:cs="宋体"/>
                <w:sz w:val="18"/>
                <w:szCs w:val="18"/>
                <w:highlight w:val="none"/>
              </w:rPr>
              <w:t>编制发布资源节约、环境友好、生态良好相关</w:t>
            </w:r>
            <w:r>
              <w:rPr>
                <w:rFonts w:hint="eastAsia" w:hAnsi="宋体" w:cs="宋体"/>
                <w:sz w:val="18"/>
                <w:szCs w:val="18"/>
                <w:highlight w:val="none"/>
                <w:lang w:eastAsia="zh-CN"/>
              </w:rPr>
              <w:t>绿色低碳产业</w:t>
            </w:r>
            <w:r>
              <w:rPr>
                <w:rFonts w:hint="default" w:hAnsi="宋体" w:cs="宋体"/>
                <w:sz w:val="18"/>
                <w:szCs w:val="18"/>
                <w:highlight w:val="none"/>
              </w:rPr>
              <w:t>转型蓝皮书等文件，或创建近零碳排放试点、编制发布碳中和规划或行动方案。</w:t>
            </w:r>
          </w:p>
        </w:tc>
        <w:tc>
          <w:tcPr>
            <w:tcW w:w="1183"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三</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信息披露</w:t>
            </w:r>
          </w:p>
        </w:tc>
        <w:tc>
          <w:tcPr>
            <w:tcW w:w="4313"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主动依法依规开展信息披露。</w:t>
            </w:r>
          </w:p>
        </w:tc>
        <w:tc>
          <w:tcPr>
            <w:tcW w:w="118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74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低碳培训</w:t>
            </w:r>
          </w:p>
        </w:tc>
        <w:tc>
          <w:tcPr>
            <w:tcW w:w="4313"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18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53"/>
        <w:numPr>
          <w:ilvl w:val="3"/>
          <w:numId w:val="2"/>
        </w:numPr>
        <w:spacing w:before="156" w:after="156"/>
        <w:rPr>
          <w:rFonts w:ascii="Times New Roman"/>
        </w:rPr>
      </w:pPr>
      <w:r>
        <w:rPr>
          <w:rFonts w:ascii="Times New Roman"/>
        </w:rPr>
        <w:t>社会责任</w:t>
      </w:r>
    </w:p>
    <w:p>
      <w:pPr>
        <w:pStyle w:val="24"/>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w:t>
      </w:r>
      <w:r>
        <w:rPr>
          <w:rFonts w:hint="eastAsia" w:hAnsi="宋体" w:cs="宋体"/>
          <w:lang w:val="en-US" w:eastAsia="zh-CN"/>
        </w:rPr>
        <w:t>22</w:t>
      </w:r>
      <w:r>
        <w:rPr>
          <w:rFonts w:hint="eastAsia" w:hAnsi="宋体" w:cs="宋体"/>
        </w:rPr>
        <w:t>。</w:t>
      </w:r>
    </w:p>
    <w:p>
      <w:pPr>
        <w:pStyle w:val="128"/>
        <w:rPr>
          <w:rFonts w:ascii="Times New Roman"/>
        </w:rPr>
      </w:pPr>
      <w:r>
        <w:rPr>
          <w:rFonts w:ascii="Times New Roman"/>
        </w:rPr>
        <w:t>社会责任评分规则表</w:t>
      </w:r>
    </w:p>
    <w:tbl>
      <w:tblPr>
        <w:tblStyle w:val="34"/>
        <w:tblW w:w="729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3234"/>
        <w:gridCol w:w="1012"/>
        <w:gridCol w:w="15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社会责任</w:t>
            </w:r>
          </w:p>
        </w:tc>
        <w:tc>
          <w:tcPr>
            <w:tcW w:w="3234"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开展情况</w:t>
            </w:r>
          </w:p>
        </w:tc>
        <w:tc>
          <w:tcPr>
            <w:tcW w:w="101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7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1467"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公共关系和社会公益责任</w:t>
            </w:r>
          </w:p>
        </w:tc>
        <w:tc>
          <w:tcPr>
            <w:tcW w:w="323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主动举办环保公益活动，或参加环境保护、教育、扶贫济困等公益活动。积极对本地或外地重大自然灾害或突发事件提供援助。</w:t>
            </w:r>
          </w:p>
        </w:tc>
        <w:tc>
          <w:tcPr>
            <w:tcW w:w="1012"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2</w:t>
            </w:r>
          </w:p>
        </w:tc>
        <w:tc>
          <w:tcPr>
            <w:tcW w:w="1578" w:type="dxa"/>
            <w:vMerge w:val="restart"/>
            <w:tcBorders>
              <w:top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该项得分为三项指标累计得分。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绿色化管理</w:t>
            </w:r>
          </w:p>
        </w:tc>
        <w:tc>
          <w:tcPr>
            <w:tcW w:w="323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57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47"/>
        <w:outlineLvl w:val="0"/>
        <w:rPr>
          <w:rFonts w:ascii="Times New Roman"/>
        </w:rPr>
      </w:pPr>
      <w:bookmarkStart w:id="93" w:name="_Toc1429"/>
      <w:bookmarkStart w:id="94" w:name="_Toc32476"/>
      <w:bookmarkStart w:id="95" w:name="_Toc102992462"/>
      <w:bookmarkStart w:id="96" w:name="_Toc118282045"/>
      <w:bookmarkStart w:id="97" w:name="_Toc23684"/>
      <w:r>
        <w:rPr>
          <w:rFonts w:hint="eastAsia" w:ascii="Times New Roman"/>
          <w:lang w:eastAsia="zh-CN"/>
        </w:rPr>
        <w:t>绿色低碳产业项目</w:t>
      </w:r>
      <w:r>
        <w:rPr>
          <w:rFonts w:hint="eastAsia" w:ascii="Times New Roman"/>
          <w:lang w:val="en-US" w:eastAsia="zh-CN"/>
        </w:rPr>
        <w:t>综合</w:t>
      </w:r>
      <w:r>
        <w:rPr>
          <w:rFonts w:hint="eastAsia" w:ascii="Times New Roman"/>
          <w:lang w:eastAsia="zh-CN"/>
        </w:rPr>
        <w:t>评价</w:t>
      </w:r>
      <w:bookmarkEnd w:id="93"/>
      <w:bookmarkEnd w:id="94"/>
    </w:p>
    <w:p>
      <w:pPr>
        <w:pStyle w:val="44"/>
        <w:outlineLvl w:val="1"/>
      </w:pPr>
      <w:bookmarkStart w:id="98" w:name="_Toc32004"/>
      <w:bookmarkStart w:id="99" w:name="_Toc15152"/>
      <w:r>
        <w:rPr>
          <w:rFonts w:hint="eastAsia"/>
          <w:lang w:eastAsia="zh-CN"/>
        </w:rPr>
        <w:t>符合性评价</w:t>
      </w:r>
      <w:bookmarkEnd w:id="98"/>
      <w:bookmarkEnd w:id="99"/>
    </w:p>
    <w:p>
      <w:pPr>
        <w:pStyle w:val="48"/>
      </w:pPr>
      <w:r>
        <w:rPr>
          <w:rFonts w:hint="eastAsia"/>
          <w:lang w:eastAsia="zh-CN"/>
        </w:rPr>
        <w:t>目录符合</w:t>
      </w:r>
    </w:p>
    <w:p>
      <w:pPr>
        <w:pStyle w:val="24"/>
        <w:rPr>
          <w:rFonts w:hint="eastAsia" w:eastAsia="宋体"/>
          <w:lang w:eastAsia="zh-CN"/>
        </w:rPr>
      </w:pPr>
      <w:r>
        <w:rPr>
          <w:rFonts w:hint="eastAsia" w:ascii="Times New Roman"/>
        </w:rPr>
        <w:t>申报</w:t>
      </w:r>
      <w:r>
        <w:rPr>
          <w:rFonts w:hint="eastAsia" w:ascii="Times New Roman"/>
          <w:lang w:eastAsia="zh-CN"/>
        </w:rPr>
        <w:t>绿色低碳产业</w:t>
      </w:r>
      <w:r>
        <w:rPr>
          <w:rFonts w:hint="eastAsia" w:ascii="Times New Roman"/>
        </w:rPr>
        <w:t>认定</w:t>
      </w:r>
      <w:r>
        <w:rPr>
          <w:rFonts w:hint="eastAsia" w:ascii="Times New Roman"/>
          <w:lang w:eastAsia="zh-CN"/>
        </w:rPr>
        <w:t>的项目</w:t>
      </w:r>
      <w:r>
        <w:rPr>
          <w:rFonts w:hint="eastAsia" w:ascii="Times New Roman"/>
        </w:rPr>
        <w:t>应属于充电设施及设备制造、换电设施及设备制造、充换电设施运营等</w:t>
      </w:r>
      <w:r>
        <w:rPr>
          <w:rFonts w:hint="eastAsia" w:ascii="Times New Roman"/>
          <w:lang w:eastAsia="zh-CN"/>
        </w:rPr>
        <w:t>充电、换电设施设备制造与运营</w:t>
      </w:r>
      <w:r>
        <w:rPr>
          <w:rFonts w:hint="eastAsia" w:ascii="Times New Roman"/>
        </w:rPr>
        <w:t>产业</w:t>
      </w:r>
      <w:r>
        <w:rPr>
          <w:rFonts w:hint="eastAsia" w:ascii="Times New Roman"/>
          <w:lang w:eastAsia="zh-CN"/>
        </w:rPr>
        <w:t>，</w:t>
      </w:r>
      <w:r>
        <w:rPr>
          <w:rFonts w:hint="eastAsia"/>
          <w:lang w:val="en-US" w:eastAsia="zh-CN"/>
        </w:rPr>
        <w:t>且符合安全、环保、质量相关法规政策、强制性标准等的要求。</w:t>
      </w:r>
    </w:p>
    <w:p>
      <w:pPr>
        <w:pStyle w:val="48"/>
      </w:pPr>
      <w:r>
        <w:rPr>
          <w:rFonts w:hint="eastAsia"/>
          <w:lang w:eastAsia="zh-CN"/>
        </w:rPr>
        <w:t>技术符合</w:t>
      </w:r>
    </w:p>
    <w:p>
      <w:pPr>
        <w:pStyle w:val="24"/>
        <w:rPr>
          <w:rFonts w:hint="eastAsia"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相关充电设施及设备制造、换电设施及设备制造、充换电设施运营情况符合深圳市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hint="eastAsia" w:ascii="Times New Roman"/>
        </w:rPr>
      </w:pPr>
      <w:bookmarkStart w:id="100" w:name="_Toc18888"/>
      <w:bookmarkStart w:id="101" w:name="_Toc9398"/>
      <w:r>
        <w:rPr>
          <w:rFonts w:hint="eastAsia" w:ascii="Times New Roman"/>
          <w:lang w:eastAsia="zh-CN"/>
        </w:rPr>
        <w:t>综合评价指标</w:t>
      </w:r>
      <w:bookmarkEnd w:id="100"/>
      <w:bookmarkEnd w:id="101"/>
    </w:p>
    <w:p>
      <w:pPr>
        <w:pStyle w:val="48"/>
        <w:rPr>
          <w:rFonts w:hint="eastAsia"/>
        </w:rPr>
      </w:pPr>
      <w:r>
        <w:rPr>
          <w:rFonts w:hint="eastAsia"/>
          <w:lang w:eastAsia="zh-CN"/>
        </w:rPr>
        <w:t>技术表现</w:t>
      </w:r>
    </w:p>
    <w:p>
      <w:pPr>
        <w:pStyle w:val="53"/>
        <w:numPr>
          <w:ilvl w:val="3"/>
          <w:numId w:val="2"/>
        </w:numPr>
        <w:spacing w:before="156" w:after="156"/>
        <w:ind w:left="0"/>
        <w:rPr>
          <w:rFonts w:hint="eastAsia"/>
        </w:rPr>
      </w:pPr>
      <w:r>
        <w:rPr>
          <w:rFonts w:hint="eastAsia"/>
          <w:lang w:eastAsia="zh-CN"/>
        </w:rPr>
        <w:t>有效知识产权</w:t>
      </w:r>
    </w:p>
    <w:p>
      <w:pPr>
        <w:pStyle w:val="57"/>
        <w:numPr>
          <w:ilvl w:val="-1"/>
          <w:numId w:val="0"/>
        </w:numPr>
        <w:adjustRightInd w:val="0"/>
        <w:ind w:firstLine="420" w:firstLineChars="200"/>
        <w:rPr>
          <w:rFonts w:hint="eastAsia" w:ascii="Times New Roman" w:eastAsia="宋体"/>
          <w:lang w:val="en-US" w:eastAsia="zh-CN"/>
        </w:rPr>
      </w:pPr>
      <w:r>
        <w:rPr>
          <w:rFonts w:hint="eastAsia" w:ascii="宋体" w:hAnsi="宋体" w:eastAsia="宋体" w:cs="宋体"/>
          <w:lang w:val="en-US" w:eastAsia="zh-CN"/>
        </w:rPr>
        <w:t>从项目拥有并直接应用的有效知识产权数量情况进行评价，具体类别及加权计算规则参考本文件5.2.1.1.1。具体评分规则见表23。</w:t>
      </w:r>
    </w:p>
    <w:p>
      <w:pPr>
        <w:pStyle w:val="128"/>
        <w:ind w:left="0" w:firstLine="0"/>
        <w:rPr>
          <w:rFonts w:ascii="Times New Roman"/>
        </w:rPr>
      </w:pPr>
      <w:r>
        <w:rPr>
          <w:rFonts w:hint="eastAsia" w:ascii="Times New Roman"/>
          <w:lang w:val="en-US" w:eastAsia="zh-CN"/>
        </w:rPr>
        <w:t>有效知识产权</w:t>
      </w:r>
      <w:r>
        <w:rPr>
          <w:rFonts w:ascii="Times New Roman"/>
        </w:rPr>
        <w:t>评分规则表</w:t>
      </w:r>
    </w:p>
    <w:tbl>
      <w:tblPr>
        <w:tblStyle w:val="34"/>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有效知识产权</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有效知识产权应用数量处于行业领先水平。</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有效知识产权应用数量处于行业良好水平。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有效知识产权应用数量处于行业一般水平。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w:t>
            </w:r>
          </w:p>
        </w:tc>
      </w:tr>
    </w:tbl>
    <w:p>
      <w:pPr>
        <w:pStyle w:val="57"/>
        <w:rPr>
          <w:rFonts w:hint="default" w:ascii="Times New Roman" w:eastAsia="宋体"/>
          <w:lang w:val="en-US" w:eastAsia="zh-CN"/>
        </w:rPr>
      </w:pPr>
      <w:r>
        <w:rPr>
          <w:rFonts w:hint="eastAsia"/>
          <w:lang w:val="en-US" w:eastAsia="zh-CN"/>
        </w:rPr>
        <w:t>关键技术先进性</w:t>
      </w:r>
    </w:p>
    <w:p>
      <w:pPr>
        <w:pStyle w:val="57"/>
        <w:numPr>
          <w:ilvl w:val="-1"/>
          <w:numId w:val="0"/>
        </w:numPr>
        <w:bidi w:val="0"/>
        <w:adjustRightInd w:val="0"/>
        <w:spacing w:before="156" w:after="156"/>
        <w:ind w:firstLine="420" w:firstLineChars="200"/>
        <w:rPr>
          <w:rFonts w:hint="eastAsia" w:ascii="宋体" w:hAnsi="宋体" w:eastAsia="宋体" w:cs="宋体"/>
          <w:lang w:val="en-US" w:eastAsia="zh-CN"/>
        </w:rPr>
      </w:pPr>
      <w:r>
        <w:rPr>
          <w:rFonts w:hint="eastAsia" w:ascii="宋体" w:hAnsi="宋体" w:eastAsia="宋体" w:cs="宋体"/>
          <w:lang w:val="en-US" w:eastAsia="zh-CN"/>
        </w:rPr>
        <w:t>从项目应用的关键技术水平</w:t>
      </w:r>
      <w:r>
        <w:rPr>
          <w:rFonts w:hint="eastAsia" w:ascii="宋体" w:hAnsi="宋体" w:eastAsia="宋体" w:cs="宋体"/>
          <w:highlight w:val="none"/>
          <w:lang w:val="en-US" w:eastAsia="zh-CN"/>
        </w:rPr>
        <w:t>进行评价，具体评价内容</w:t>
      </w:r>
      <w:r>
        <w:rPr>
          <w:rFonts w:hint="eastAsia" w:ascii="宋体" w:hAnsi="宋体" w:eastAsia="宋体" w:cs="宋体"/>
          <w:lang w:val="en-US" w:eastAsia="zh-CN"/>
        </w:rPr>
        <w:t>参考本文件</w:t>
      </w:r>
      <w:r>
        <w:rPr>
          <w:rFonts w:hint="eastAsia" w:ascii="宋体" w:hAnsi="宋体" w:eastAsia="宋体" w:cs="宋体"/>
          <w:highlight w:val="none"/>
          <w:lang w:val="en-US" w:eastAsia="zh-CN"/>
        </w:rPr>
        <w:t>5.2.1.1.4</w:t>
      </w:r>
      <w:r>
        <w:rPr>
          <w:rFonts w:hint="eastAsia" w:ascii="宋体" w:hAnsi="宋体" w:eastAsia="宋体" w:cs="宋体"/>
          <w:lang w:val="en-US" w:eastAsia="zh-CN"/>
        </w:rPr>
        <w:t>进行评价</w:t>
      </w:r>
      <w:r>
        <w:rPr>
          <w:rFonts w:hint="eastAsia" w:ascii="Times New Roman" w:eastAsia="宋体"/>
          <w:lang w:val="en-US" w:eastAsia="zh-CN"/>
        </w:rPr>
        <w:t>。具体评分规则</w:t>
      </w:r>
      <w:r>
        <w:rPr>
          <w:rFonts w:hint="eastAsia" w:ascii="宋体" w:hAnsi="宋体" w:eastAsia="宋体" w:cs="宋体"/>
          <w:lang w:val="en-US" w:eastAsia="zh-CN"/>
        </w:rPr>
        <w:t>见表24。</w:t>
      </w:r>
    </w:p>
    <w:p>
      <w:pPr>
        <w:pStyle w:val="128"/>
        <w:ind w:left="0" w:firstLine="0"/>
        <w:rPr>
          <w:rFonts w:ascii="Times New Roman"/>
        </w:rPr>
      </w:pPr>
      <w:r>
        <w:rPr>
          <w:rFonts w:hint="eastAsia" w:ascii="Times New Roman"/>
          <w:lang w:val="en-US" w:eastAsia="zh-CN"/>
        </w:rPr>
        <w:t>关键技术先进性</w:t>
      </w:r>
      <w:r>
        <w:rPr>
          <w:rFonts w:ascii="Times New Roman"/>
        </w:rPr>
        <w:t>评分规则表</w:t>
      </w:r>
    </w:p>
    <w:tbl>
      <w:tblPr>
        <w:tblStyle w:val="34"/>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关键技术先进性</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关键技术处于行业领先水平，具有显著技术引领作用。</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关键技术处于行业较好水平，具有一定技术推动作用。</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关键技术处于行业平均水平。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未满足上述任何一项。</w:t>
            </w:r>
          </w:p>
        </w:tc>
        <w:tc>
          <w:tcPr>
            <w:tcW w:w="1501"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0</w:t>
            </w:r>
          </w:p>
        </w:tc>
      </w:tr>
    </w:tbl>
    <w:p>
      <w:pPr>
        <w:pStyle w:val="57"/>
        <w:rPr>
          <w:rFonts w:hint="eastAsia" w:ascii="Times New Roman" w:eastAsia="宋体"/>
          <w:lang w:val="en-US" w:eastAsia="zh-CN"/>
        </w:rPr>
      </w:pPr>
      <w:r>
        <w:rPr>
          <w:rFonts w:hint="eastAsia" w:ascii="黑体" w:eastAsia="黑体"/>
          <w:lang w:val="en-US" w:eastAsia="zh-CN"/>
        </w:rPr>
        <w:t>环境效益</w:t>
      </w:r>
    </w:p>
    <w:p>
      <w:pPr>
        <w:pStyle w:val="24"/>
        <w:numPr>
          <w:ilvl w:val="-1"/>
          <w:numId w:val="0"/>
        </w:numPr>
        <w:spacing w:before="156" w:after="156"/>
        <w:ind w:firstLine="420" w:firstLineChars="200"/>
        <w:rPr>
          <w:rFonts w:hint="eastAsia" w:ascii="Times New Roman" w:eastAsia="宋体"/>
          <w:lang w:val="en-US" w:eastAsia="zh-CN"/>
        </w:rPr>
      </w:pPr>
      <w:r>
        <w:rPr>
          <w:rFonts w:hint="eastAsia" w:ascii="宋体" w:hAnsi="宋体" w:eastAsia="宋体" w:cs="宋体"/>
          <w:lang w:val="en-US" w:eastAsia="zh-CN"/>
        </w:rPr>
        <w:t>从</w:t>
      </w:r>
      <w:r>
        <w:rPr>
          <w:rFonts w:hint="eastAsia" w:hAnsi="宋体" w:cs="宋体"/>
          <w:lang w:val="en-US" w:eastAsia="zh-CN"/>
        </w:rPr>
        <w:t>项目取得的资源节约、环境友好、生态良好相关实际环境效益贡献量及影响广度进行评价，</w:t>
      </w:r>
      <w:r>
        <w:rPr>
          <w:rFonts w:hint="eastAsia" w:ascii="宋体" w:hAnsi="宋体" w:eastAsia="宋体" w:cs="宋体"/>
          <w:lang w:val="en-US" w:eastAsia="zh-CN"/>
        </w:rPr>
        <w:t>具体评价内容参考本文件</w:t>
      </w:r>
      <w:r>
        <w:rPr>
          <w:rFonts w:hint="eastAsia" w:hAnsi="宋体" w:cs="宋体"/>
          <w:lang w:val="en-US" w:eastAsia="zh-CN"/>
        </w:rPr>
        <w:t>5.2.1.2</w:t>
      </w:r>
      <w:r>
        <w:rPr>
          <w:rFonts w:hint="eastAsia" w:hAnsi="宋体" w:cs="宋体"/>
        </w:rPr>
        <w:t>。</w:t>
      </w:r>
      <w:r>
        <w:rPr>
          <w:rFonts w:hint="eastAsia" w:ascii="宋体" w:hAnsi="宋体" w:eastAsia="宋体" w:cs="宋体"/>
          <w:lang w:val="en-US" w:eastAsia="zh-CN"/>
        </w:rPr>
        <w:t>具体评分规则见表</w:t>
      </w:r>
      <w:r>
        <w:rPr>
          <w:rFonts w:hint="eastAsia" w:hAnsi="宋体" w:cs="宋体"/>
          <w:lang w:val="en-US" w:eastAsia="zh-CN"/>
        </w:rPr>
        <w:t>25</w:t>
      </w:r>
      <w:r>
        <w:rPr>
          <w:rFonts w:hint="eastAsia" w:ascii="宋体" w:hAnsi="宋体" w:eastAsia="宋体" w:cs="宋体"/>
          <w:lang w:val="en-US" w:eastAsia="zh-CN"/>
        </w:rPr>
        <w:t>。</w:t>
      </w:r>
    </w:p>
    <w:p>
      <w:pPr>
        <w:pStyle w:val="128"/>
        <w:ind w:left="0" w:firstLine="0"/>
        <w:rPr>
          <w:rFonts w:ascii="Times New Roman"/>
        </w:rPr>
      </w:pPr>
      <w:r>
        <w:rPr>
          <w:rFonts w:hint="eastAsia" w:ascii="Times New Roman"/>
          <w:lang w:val="en-US" w:eastAsia="zh-CN"/>
        </w:rPr>
        <w:t>环境效益</w:t>
      </w:r>
      <w:r>
        <w:rPr>
          <w:rFonts w:ascii="Times New Roman"/>
        </w:rPr>
        <w:t>评分规则表</w:t>
      </w:r>
    </w:p>
    <w:tbl>
      <w:tblPr>
        <w:tblStyle w:val="34"/>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环境效益水平</w:t>
            </w:r>
          </w:p>
        </w:tc>
        <w:tc>
          <w:tcPr>
            <w:tcW w:w="112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rPr>
            </w:pPr>
            <w:r>
              <w:rPr>
                <w:rFonts w:hint="eastAsia" w:hAnsi="宋体" w:cs="宋体"/>
                <w:sz w:val="18"/>
                <w:szCs w:val="18"/>
                <w:lang w:val="en-US" w:eastAsia="zh-CN"/>
              </w:rPr>
              <w:t>取得的环境效益效果显著，处于行业领先水平。</w:t>
            </w:r>
          </w:p>
        </w:tc>
        <w:tc>
          <w:tcPr>
            <w:tcW w:w="112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取得的环境效益效果较好，处于行业良好水平。</w:t>
            </w:r>
          </w:p>
        </w:tc>
        <w:tc>
          <w:tcPr>
            <w:tcW w:w="112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取得的环境效益效果一般，处于行业一般水平。</w:t>
            </w:r>
          </w:p>
        </w:tc>
        <w:tc>
          <w:tcPr>
            <w:tcW w:w="112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[0,10]</w:t>
            </w:r>
          </w:p>
        </w:tc>
      </w:tr>
    </w:tbl>
    <w:p>
      <w:pPr>
        <w:pStyle w:val="53"/>
        <w:numPr>
          <w:ilvl w:val="3"/>
          <w:numId w:val="2"/>
        </w:numPr>
        <w:spacing w:before="156" w:after="156"/>
        <w:ind w:left="0" w:leftChars="0" w:firstLineChars="0"/>
        <w:rPr>
          <w:rFonts w:hint="eastAsia" w:ascii="Times New Roman" w:eastAsia="宋体"/>
          <w:lang w:val="en-US" w:eastAsia="zh-CN"/>
        </w:rPr>
      </w:pPr>
      <w:r>
        <w:rPr>
          <w:rFonts w:hint="default" w:ascii="黑体" w:eastAsia="黑体"/>
          <w:lang w:val="en-US" w:eastAsia="zh-CN"/>
        </w:rPr>
        <w:t>环境表现</w:t>
      </w:r>
    </w:p>
    <w:p>
      <w:pPr>
        <w:pStyle w:val="57"/>
        <w:spacing w:before="156" w:after="156"/>
        <w:rPr>
          <w:rFonts w:ascii="Times New Roman"/>
        </w:rPr>
      </w:pPr>
      <w:r>
        <w:rPr>
          <w:rFonts w:ascii="Times New Roman"/>
        </w:rPr>
        <w:t>设备材料</w:t>
      </w:r>
    </w:p>
    <w:p>
      <w:pPr>
        <w:pStyle w:val="24"/>
        <w:rPr>
          <w:rFonts w:ascii="Times New Roman"/>
        </w:rPr>
      </w:pPr>
      <w:r>
        <w:rPr>
          <w:rFonts w:hint="eastAsia" w:ascii="宋体" w:hAnsi="宋体" w:eastAsia="宋体" w:cs="宋体"/>
          <w:lang w:val="en-US" w:eastAsia="zh-CN"/>
        </w:rPr>
        <w:t>从项目</w:t>
      </w:r>
      <w:r>
        <w:rPr>
          <w:rFonts w:hint="eastAsia" w:hAnsi="宋体" w:cs="宋体"/>
          <w:lang w:val="en-US" w:eastAsia="zh-CN"/>
        </w:rPr>
        <w:t>是否采用国家推广的设备、材料等方面进行评价，</w:t>
      </w:r>
      <w:r>
        <w:rPr>
          <w:rFonts w:hint="eastAsia" w:ascii="宋体" w:hAnsi="宋体" w:eastAsia="宋体" w:cs="宋体"/>
          <w:lang w:val="en-US" w:eastAsia="zh-CN"/>
        </w:rPr>
        <w:t>具体评价内容参考本文件</w:t>
      </w:r>
      <w:r>
        <w:rPr>
          <w:rFonts w:hint="eastAsia" w:hAnsi="宋体" w:cs="宋体"/>
          <w:lang w:val="en-US" w:eastAsia="zh-CN"/>
        </w:rPr>
        <w:t>5.2.3.1</w:t>
      </w:r>
      <w:r>
        <w:rPr>
          <w:rFonts w:hint="eastAsia" w:ascii="宋体" w:hAnsi="宋体" w:eastAsia="宋体" w:cs="宋体"/>
          <w:lang w:val="en-US" w:eastAsia="zh-CN"/>
        </w:rPr>
        <w:t>，</w:t>
      </w:r>
      <w:r>
        <w:rPr>
          <w:rFonts w:hint="eastAsia" w:hAnsi="宋体" w:cs="宋体"/>
        </w:rPr>
        <w:t>具体评分规则见表</w:t>
      </w:r>
      <w:r>
        <w:rPr>
          <w:rFonts w:hint="eastAsia" w:hAnsi="宋体" w:cs="宋体"/>
          <w:lang w:val="en-US" w:eastAsia="zh-CN"/>
        </w:rPr>
        <w:t>26</w:t>
      </w:r>
      <w:r>
        <w:rPr>
          <w:rFonts w:hint="eastAsia" w:hAnsi="宋体" w:cs="宋体"/>
        </w:rPr>
        <w:t>。</w:t>
      </w:r>
    </w:p>
    <w:p>
      <w:pPr>
        <w:pStyle w:val="128"/>
        <w:rPr>
          <w:rFonts w:ascii="Times New Roman"/>
        </w:rPr>
      </w:pPr>
      <w:r>
        <w:rPr>
          <w:rFonts w:ascii="Times New Roman"/>
        </w:rPr>
        <w:t>设备材料评分规则表</w:t>
      </w:r>
    </w:p>
    <w:tbl>
      <w:tblPr>
        <w:tblStyle w:val="34"/>
        <w:tblW w:w="4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工艺设备材料</w:t>
            </w:r>
          </w:p>
        </w:tc>
        <w:tc>
          <w:tcPr>
            <w:tcW w:w="1263"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设备材料绿色化程度较高。</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设备材料绿色化程度中等。</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设备材料绿色化程度一般。</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(0,4]</w:t>
            </w:r>
          </w:p>
        </w:tc>
      </w:tr>
    </w:tbl>
    <w:p>
      <w:pPr>
        <w:pStyle w:val="57"/>
        <w:rPr>
          <w:rFonts w:hint="eastAsia" w:ascii="Times New Roman" w:eastAsia="宋体"/>
          <w:lang w:val="en-US" w:eastAsia="zh-CN"/>
        </w:rPr>
      </w:pPr>
      <w:r>
        <w:rPr>
          <w:rFonts w:hint="eastAsia" w:ascii="黑体" w:eastAsia="黑体"/>
          <w:lang w:val="en-US" w:eastAsia="zh-CN"/>
        </w:rPr>
        <w:t>绿色</w:t>
      </w:r>
      <w:r>
        <w:rPr>
          <w:rFonts w:hint="eastAsia"/>
          <w:lang w:val="en-US" w:eastAsia="zh-CN"/>
        </w:rPr>
        <w:t>低碳</w:t>
      </w:r>
      <w:r>
        <w:rPr>
          <w:rFonts w:hint="eastAsia" w:ascii="黑体" w:eastAsia="黑体"/>
          <w:lang w:val="en-US" w:eastAsia="zh-CN"/>
        </w:rPr>
        <w:t>运营</w:t>
      </w:r>
    </w:p>
    <w:p>
      <w:pPr>
        <w:pStyle w:val="24"/>
        <w:rPr>
          <w:rFonts w:hint="eastAsia"/>
          <w:lang w:val="en-US" w:eastAsia="zh-CN"/>
        </w:rPr>
      </w:pPr>
      <w:r>
        <w:rPr>
          <w:rFonts w:hint="eastAsia"/>
          <w:lang w:val="en-US" w:eastAsia="zh-CN"/>
        </w:rPr>
        <w:t>绿色低碳运营从单位总投资综合能耗、单位总投资用水量、单位总投资用地面积、单位总投资碳排放量、可再生能源占比等方面进行综合评估。其中，单位总投资综合能耗为项目生产建设综合能耗与项目总投资额的比值，单位为</w:t>
      </w:r>
      <w:r>
        <w:rPr>
          <w:rFonts w:hint="eastAsia" w:hAnsi="Times New Roman" w:cs="Times New Roman"/>
          <w:sz w:val="21"/>
          <w:szCs w:val="20"/>
          <w:lang w:val="en-US" w:eastAsia="zh-CN"/>
        </w:rPr>
        <w:t>吨标准煤/万元</w:t>
      </w:r>
      <w:r>
        <w:rPr>
          <w:rFonts w:hint="eastAsia"/>
          <w:lang w:val="en-US" w:eastAsia="zh-CN"/>
        </w:rPr>
        <w:t>；单位总投资用水量为项目生产建设用水总量与项目总投资额的比值，单位为</w:t>
      </w:r>
      <w:r>
        <w:rPr>
          <w:rFonts w:hint="eastAsia" w:hAnsi="Times New Roman" w:cs="Times New Roman"/>
          <w:sz w:val="21"/>
          <w:szCs w:val="20"/>
          <w:lang w:val="en-US" w:eastAsia="zh-CN"/>
        </w:rPr>
        <w:t>吨/万元</w:t>
      </w:r>
      <w:r>
        <w:rPr>
          <w:rFonts w:hint="eastAsia"/>
          <w:lang w:val="en-US" w:eastAsia="zh-CN"/>
        </w:rPr>
        <w:t>；单位总投资用地面积为项目生产建设用地面积与项目总投资额的比值，单位为</w:t>
      </w:r>
      <w:r>
        <w:rPr>
          <w:rFonts w:hint="eastAsia" w:hAnsi="Times New Roman" w:cs="Times New Roman"/>
          <w:sz w:val="21"/>
          <w:szCs w:val="20"/>
          <w:lang w:val="en-US" w:eastAsia="zh-CN"/>
        </w:rPr>
        <w:t>平方米/万元</w:t>
      </w:r>
      <w:r>
        <w:rPr>
          <w:rFonts w:hint="eastAsia"/>
          <w:lang w:val="en-US" w:eastAsia="zh-CN"/>
        </w:rPr>
        <w:t>；单位总投资碳排放量为项目碳排放总量与项目总投资额的比值，单位为</w:t>
      </w:r>
      <w:r>
        <w:rPr>
          <w:rFonts w:hint="eastAsia" w:ascii="宋体" w:hAnsi="Times New Roman" w:cs="Times New Roman"/>
          <w:b w:val="0"/>
          <w:bCs w:val="0"/>
          <w:sz w:val="21"/>
          <w:szCs w:val="20"/>
          <w:lang w:val="en-US" w:eastAsia="zh-CN"/>
        </w:rPr>
        <w:t>吨二氧化碳当量/万元</w:t>
      </w:r>
      <w:r>
        <w:rPr>
          <w:rFonts w:hint="eastAsia"/>
          <w:lang w:val="en-US" w:eastAsia="zh-CN"/>
        </w:rPr>
        <w:t>；可再生能源占比具体评价内容参考</w:t>
      </w:r>
      <w:r>
        <w:rPr>
          <w:rFonts w:hint="eastAsia"/>
          <w:highlight w:val="none"/>
          <w:lang w:val="en-US" w:eastAsia="zh-CN"/>
        </w:rPr>
        <w:t>5.2.3.2.2</w:t>
      </w:r>
      <w:r>
        <w:rPr>
          <w:rFonts w:hint="eastAsia"/>
          <w:lang w:val="en-US" w:eastAsia="zh-CN"/>
        </w:rPr>
        <w:t>。具体评分规则见表27。</w:t>
      </w:r>
    </w:p>
    <w:p>
      <w:pPr>
        <w:pStyle w:val="128"/>
        <w:ind w:left="0" w:firstLine="0"/>
        <w:rPr>
          <w:rFonts w:ascii="Times New Roman"/>
        </w:rPr>
      </w:pPr>
      <w:r>
        <w:rPr>
          <w:rFonts w:hint="eastAsia" w:ascii="Times New Roman"/>
          <w:lang w:val="en-US" w:eastAsia="zh-CN"/>
        </w:rPr>
        <w:t>绿色低碳运营</w:t>
      </w:r>
      <w:r>
        <w:rPr>
          <w:rFonts w:ascii="Times New Roman"/>
        </w:rPr>
        <w:t>评分规则表</w:t>
      </w:r>
    </w:p>
    <w:tbl>
      <w:tblPr>
        <w:tblStyle w:val="34"/>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09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项目投资水平</w:t>
            </w:r>
          </w:p>
        </w:tc>
        <w:tc>
          <w:tcPr>
            <w:tcW w:w="3716"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评分依据及单项分值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单位总投资综合能耗</w:t>
            </w:r>
          </w:p>
        </w:tc>
        <w:tc>
          <w:tcPr>
            <w:tcW w:w="3716" w:type="dxa"/>
            <w:vMerge w:val="restart"/>
            <w:tcBorders>
              <w:top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4"/>
              <w:ind w:firstLine="0" w:firstLineChars="0"/>
              <w:jc w:val="left"/>
              <w:rPr>
                <w:rFonts w:hint="default" w:hAnsi="宋体" w:cs="宋体"/>
                <w:sz w:val="18"/>
                <w:szCs w:val="18"/>
                <w:lang w:val="en-US" w:eastAsia="zh-CN"/>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单位总投资用水量</w:t>
            </w:r>
          </w:p>
        </w:tc>
        <w:tc>
          <w:tcPr>
            <w:tcW w:w="3716"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单位总投资用地面积</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单位总投资碳排放量</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可再生能源占比</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57"/>
        <w:spacing w:before="156" w:after="156"/>
        <w:rPr>
          <w:rFonts w:ascii="Times New Roman"/>
        </w:rPr>
      </w:pPr>
      <w:r>
        <w:rPr>
          <w:rFonts w:hint="eastAsia"/>
          <w:lang w:val="en-US" w:eastAsia="zh-CN"/>
        </w:rPr>
        <w:t>污染物</w:t>
      </w:r>
      <w:r>
        <w:t>排放</w:t>
      </w:r>
      <w:r>
        <w:rPr>
          <w:rFonts w:hint="eastAsia"/>
        </w:rPr>
        <w:t>水平</w:t>
      </w:r>
    </w:p>
    <w:p>
      <w:pPr>
        <w:pStyle w:val="24"/>
        <w:rPr>
          <w:rFonts w:hAnsi="宋体" w:cs="宋体"/>
        </w:rPr>
      </w:pPr>
      <w:r>
        <w:rPr>
          <w:rFonts w:hint="eastAsia" w:hAnsi="宋体" w:cs="宋体"/>
        </w:rPr>
        <w:t>从</w:t>
      </w:r>
      <w:r>
        <w:rPr>
          <w:rFonts w:hint="eastAsia" w:hAnsi="宋体" w:cs="宋体"/>
          <w:lang w:val="en-US" w:eastAsia="zh-CN"/>
        </w:rPr>
        <w:t>项目</w:t>
      </w:r>
      <w:r>
        <w:rPr>
          <w:rFonts w:hint="eastAsia" w:hAnsi="宋体" w:cs="宋体"/>
        </w:rPr>
        <w:t>自身生产运营过程向环境排放污染物的情况进行评价</w:t>
      </w:r>
      <w:r>
        <w:rPr>
          <w:rFonts w:hint="eastAsia" w:hAnsi="宋体" w:cs="宋体"/>
          <w:lang w:eastAsia="zh-CN"/>
        </w:rPr>
        <w:t>，</w:t>
      </w:r>
      <w:r>
        <w:rPr>
          <w:rFonts w:hint="eastAsia" w:ascii="宋体" w:hAnsi="宋体" w:eastAsia="宋体" w:cs="宋体"/>
          <w:lang w:val="en-US" w:eastAsia="zh-CN"/>
        </w:rPr>
        <w:t>具体评价内容参考本文件7.2.2.</w:t>
      </w:r>
      <w:r>
        <w:rPr>
          <w:rFonts w:hint="eastAsia" w:hAnsi="宋体" w:cs="宋体"/>
          <w:lang w:val="en-US" w:eastAsia="zh-CN"/>
        </w:rPr>
        <w:t>4</w:t>
      </w:r>
      <w:r>
        <w:rPr>
          <w:rFonts w:hint="eastAsia" w:ascii="宋体" w:hAnsi="宋体" w:eastAsia="宋体" w:cs="宋体"/>
          <w:lang w:val="en-US" w:eastAsia="zh-CN"/>
        </w:rPr>
        <w:t>.</w:t>
      </w:r>
      <w:r>
        <w:rPr>
          <w:rFonts w:hint="eastAsia" w:hAnsi="宋体" w:cs="宋体"/>
          <w:lang w:val="en-US" w:eastAsia="zh-CN"/>
        </w:rPr>
        <w:t>3，</w:t>
      </w:r>
      <w:r>
        <w:rPr>
          <w:rFonts w:hint="eastAsia" w:hAnsi="宋体" w:cs="宋体"/>
        </w:rPr>
        <w:t>具体评分规则见表</w:t>
      </w:r>
      <w:r>
        <w:rPr>
          <w:rFonts w:hint="eastAsia" w:hAnsi="宋体" w:cs="宋体"/>
          <w:lang w:val="en-US" w:eastAsia="zh-CN"/>
        </w:rPr>
        <w:t>28</w:t>
      </w:r>
      <w:r>
        <w:rPr>
          <w:rFonts w:hint="eastAsia" w:hAnsi="宋体" w:cs="宋体"/>
        </w:rPr>
        <w:t>。</w:t>
      </w:r>
    </w:p>
    <w:p>
      <w:pPr>
        <w:pStyle w:val="128"/>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4"/>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203"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p>
        </w:tc>
        <w:tc>
          <w:tcPr>
            <w:tcW w:w="120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47"/>
        <w:outlineLvl w:val="0"/>
        <w:rPr>
          <w:rFonts w:ascii="Times New Roman"/>
        </w:rPr>
      </w:pPr>
      <w:bookmarkStart w:id="102" w:name="_Toc32186"/>
      <w:r>
        <w:rPr>
          <w:rFonts w:ascii="Times New Roman"/>
        </w:rPr>
        <w:t>评价程序</w:t>
      </w:r>
      <w:bookmarkEnd w:id="95"/>
      <w:bookmarkEnd w:id="96"/>
      <w:bookmarkEnd w:id="97"/>
      <w:bookmarkEnd w:id="102"/>
    </w:p>
    <w:p>
      <w:pPr>
        <w:pStyle w:val="44"/>
        <w:outlineLvl w:val="1"/>
        <w:rPr>
          <w:rFonts w:ascii="Times New Roman"/>
        </w:rPr>
      </w:pPr>
      <w:bookmarkStart w:id="103" w:name="_Toc19162"/>
      <w:bookmarkStart w:id="104" w:name="_Toc118282046"/>
      <w:bookmarkStart w:id="105" w:name="_Toc2913"/>
      <w:bookmarkStart w:id="106" w:name="_Toc856"/>
      <w:bookmarkStart w:id="107" w:name="_Toc118281022"/>
      <w:r>
        <w:rPr>
          <w:rFonts w:ascii="Times New Roman"/>
        </w:rPr>
        <w:t>成立工作组</w:t>
      </w:r>
      <w:bookmarkEnd w:id="103"/>
      <w:bookmarkEnd w:id="104"/>
      <w:bookmarkEnd w:id="105"/>
      <w:bookmarkEnd w:id="106"/>
      <w:bookmarkEnd w:id="107"/>
    </w:p>
    <w:p>
      <w:pPr>
        <w:ind w:firstLine="420" w:firstLineChars="200"/>
      </w:pPr>
      <w:r>
        <w:rPr>
          <w:rFonts w:hint="eastAsia"/>
        </w:rPr>
        <w:t>成立</w:t>
      </w:r>
      <w:r>
        <w:rPr>
          <w:rFonts w:hint="eastAsia"/>
          <w:lang w:eastAsia="zh-CN"/>
        </w:rPr>
        <w:t>绿色低碳产业</w:t>
      </w:r>
      <w:r>
        <w:rPr>
          <w:rFonts w:hint="eastAsia"/>
        </w:rPr>
        <w:t>认定评价工作组，负责具体协调、组织和实施</w:t>
      </w:r>
      <w:r>
        <w:rPr>
          <w:rFonts w:hint="eastAsia"/>
          <w:lang w:eastAsia="zh-CN"/>
        </w:rPr>
        <w:t>绿色低碳产业</w:t>
      </w:r>
      <w:r>
        <w:rPr>
          <w:rFonts w:hint="eastAsia"/>
        </w:rPr>
        <w:t>认定评价工作。要求工作组成员：</w:t>
      </w:r>
    </w:p>
    <w:p>
      <w:pPr>
        <w:ind w:firstLine="420" w:firstLineChars="200"/>
      </w:pPr>
      <w:r>
        <w:rPr>
          <w:rFonts w:hint="eastAsia"/>
        </w:rPr>
        <w:t>——具有</w:t>
      </w:r>
      <w:r>
        <w:rPr>
          <w:rFonts w:hint="eastAsia"/>
          <w:lang w:eastAsia="zh-CN"/>
        </w:rPr>
        <w:t>充电、换电设施设备制造与运营</w:t>
      </w:r>
      <w:r>
        <w:rPr>
          <w:rFonts w:hint="eastAsia"/>
        </w:rPr>
        <w:t>、环境、财务等相关专业背景；</w:t>
      </w:r>
    </w:p>
    <w:p>
      <w:pPr>
        <w:ind w:firstLine="420" w:firstLineChars="200"/>
      </w:pPr>
      <w:r>
        <w:rPr>
          <w:rFonts w:hint="eastAsia"/>
        </w:rPr>
        <w:t>——熟悉掌握</w:t>
      </w:r>
      <w:r>
        <w:rPr>
          <w:rFonts w:hint="eastAsia"/>
          <w:lang w:eastAsia="zh-CN"/>
        </w:rPr>
        <w:t>绿色低碳产业</w:t>
      </w:r>
      <w:r>
        <w:rPr>
          <w:rFonts w:hint="eastAsia"/>
        </w:rPr>
        <w:t>认定评价方法和步骤；</w:t>
      </w:r>
    </w:p>
    <w:p>
      <w:pPr>
        <w:ind w:firstLine="420" w:firstLineChars="200"/>
      </w:pPr>
      <w:r>
        <w:rPr>
          <w:rFonts w:hint="eastAsia"/>
        </w:rPr>
        <w:t>——具备良好的沟通协调能力和文字表达能力。</w:t>
      </w:r>
    </w:p>
    <w:p>
      <w:pPr>
        <w:pStyle w:val="44"/>
        <w:outlineLvl w:val="1"/>
        <w:rPr>
          <w:rFonts w:ascii="Times New Roman"/>
        </w:rPr>
      </w:pPr>
      <w:bookmarkStart w:id="108" w:name="_Toc118281023"/>
      <w:bookmarkStart w:id="109" w:name="_Toc118282047"/>
      <w:bookmarkStart w:id="110" w:name="_Toc8861"/>
      <w:bookmarkStart w:id="111" w:name="_Toc32142"/>
      <w:r>
        <w:rPr>
          <w:rFonts w:hint="eastAsia" w:ascii="Times New Roman"/>
        </w:rPr>
        <w:t>收集材料</w:t>
      </w:r>
      <w:bookmarkEnd w:id="108"/>
      <w:bookmarkEnd w:id="109"/>
      <w:bookmarkEnd w:id="110"/>
      <w:bookmarkEnd w:id="111"/>
    </w:p>
    <w:p>
      <w:pPr>
        <w:pStyle w:val="24"/>
      </w:pPr>
      <w:r>
        <w:rPr>
          <w:rFonts w:hint="eastAsia"/>
          <w:lang w:eastAsia="zh-CN"/>
        </w:rPr>
        <w:t>绿色低碳产业</w:t>
      </w:r>
      <w:r>
        <w:rPr>
          <w:rFonts w:hint="eastAsia"/>
        </w:rPr>
        <w:t>认定评价应收集的信息和文件资料见表</w:t>
      </w:r>
      <w:r>
        <w:rPr>
          <w:rFonts w:hint="eastAsia"/>
          <w:lang w:val="en-US" w:eastAsia="zh-CN"/>
        </w:rPr>
        <w:t>29</w:t>
      </w:r>
      <w:r>
        <w:rPr>
          <w:rFonts w:hint="eastAsia"/>
          <w:lang w:eastAsia="zh-CN"/>
        </w:rPr>
        <w:t>、</w:t>
      </w:r>
      <w:r>
        <w:t>表</w:t>
      </w:r>
      <w:r>
        <w:rPr>
          <w:rFonts w:hint="eastAsia"/>
          <w:lang w:val="en-US" w:eastAsia="zh-CN"/>
        </w:rPr>
        <w:t>30和表31</w:t>
      </w:r>
      <w:r>
        <w:rPr>
          <w:rFonts w:hint="eastAsia"/>
        </w:rPr>
        <w:t>。</w:t>
      </w:r>
    </w:p>
    <w:p>
      <w:pPr>
        <w:numPr>
          <w:ilvl w:val="0"/>
          <w:numId w:val="17"/>
        </w:numPr>
        <w:spacing w:before="156" w:beforeLines="50" w:after="156" w:afterLines="50"/>
        <w:jc w:val="center"/>
      </w:pPr>
      <w:r>
        <w:rPr>
          <w:rFonts w:hint="eastAsia" w:eastAsia="黑体"/>
        </w:rPr>
        <w:t>符合性评价证明材料列表</w:t>
      </w:r>
    </w:p>
    <w:tbl>
      <w:tblPr>
        <w:tblStyle w:val="35"/>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1"/>
        <w:gridCol w:w="6089"/>
        <w:gridCol w:w="119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81"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08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198"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089" w:type="dxa"/>
            <w:tcBorders>
              <w:top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申报认定评价的主营业务应属于充电设施及设备制造、换电设施及设备制造、充换电设施运营等</w:t>
            </w:r>
            <w:r>
              <w:rPr>
                <w:rFonts w:hint="eastAsia" w:ascii="宋体"/>
                <w:sz w:val="18"/>
                <w:szCs w:val="18"/>
                <w:lang w:eastAsia="zh-CN"/>
              </w:rPr>
              <w:t>充电、换电设施设备制造与运营</w:t>
            </w:r>
            <w:r>
              <w:rPr>
                <w:rFonts w:hint="eastAsia" w:ascii="宋体"/>
                <w:sz w:val="18"/>
                <w:szCs w:val="18"/>
              </w:rPr>
              <w:t>产业。</w:t>
            </w:r>
            <w:r>
              <w:rPr>
                <w:rFonts w:hint="eastAsia" w:ascii="宋体"/>
                <w:sz w:val="18"/>
                <w:szCs w:val="18"/>
                <w:lang w:val="en-US" w:eastAsia="zh-CN"/>
              </w:rPr>
              <w:t>且其绿色业务占比达到50%或以上，或跨界规模达到1亿元、在国内外新兴领域超前领先。</w:t>
            </w:r>
          </w:p>
        </w:tc>
        <w:tc>
          <w:tcPr>
            <w:tcW w:w="1198"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089" w:type="dxa"/>
            <w:tcBorders>
              <w:bottom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提供的产品或服务应符合国家、广东省及深圳市相关主管部门发布的法律法规和政策标准要求，相关充电设施及设备制造、换电设施及设备制造、充换电设施运营情况符合深圳市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98"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rPr>
        <w:t>综合</w:t>
      </w:r>
      <w:r>
        <w:rPr>
          <w:rFonts w:eastAsia="黑体"/>
        </w:rPr>
        <w:t>评价证明材料列表</w:t>
      </w:r>
    </w:p>
    <w:tbl>
      <w:tblPr>
        <w:tblStyle w:val="35"/>
        <w:tblW w:w="8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9"/>
        <w:gridCol w:w="1312"/>
        <w:gridCol w:w="1676"/>
        <w:gridCol w:w="4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31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67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27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312"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1676"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27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参与制修订标准</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eastAsia="宋体"/>
                <w:sz w:val="18"/>
                <w:szCs w:val="18"/>
                <w:lang w:val="en-US" w:eastAsia="zh-CN"/>
              </w:rPr>
            </w:pPr>
            <w:r>
              <w:rPr>
                <w:rFonts w:hint="eastAsia" w:ascii="宋体"/>
                <w:sz w:val="18"/>
                <w:szCs w:val="18"/>
                <w:lang w:eastAsia="zh-CN"/>
              </w:rPr>
              <w:t>绿色电力消费</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default" w:ascii="宋体" w:hAnsi="Times New Roman" w:cs="Times New Roman"/>
                <w:b w:val="0"/>
                <w:bCs w:val="0"/>
                <w:i w:val="0"/>
                <w:iCs w:val="0"/>
                <w:caps w:val="0"/>
                <w:spacing w:val="0"/>
                <w:kern w:val="0"/>
                <w:sz w:val="18"/>
                <w:szCs w:val="18"/>
                <w:lang w:eastAsia="zh-CN"/>
              </w:rPr>
              <w:t>第三方报告、合同</w:t>
            </w:r>
            <w:r>
              <w:rPr>
                <w:rFonts w:hint="eastAsia" w:ascii="宋体" w:cs="Times New Roman"/>
                <w:b w:val="0"/>
                <w:bCs w:val="0"/>
                <w:i w:val="0"/>
                <w:iCs w:val="0"/>
                <w:caps w:val="0"/>
                <w:spacing w:val="0"/>
                <w:kern w:val="0"/>
                <w:sz w:val="18"/>
                <w:szCs w:val="18"/>
                <w:lang w:eastAsia="zh-CN"/>
              </w:rPr>
              <w:t>、绿电证书</w:t>
            </w:r>
            <w:r>
              <w:rPr>
                <w:rFonts w:hint="default" w:ascii="宋体" w:hAnsi="Times New Roman" w:cs="Times New Roman"/>
                <w:b w:val="0"/>
                <w:bCs w:val="0"/>
                <w:i w:val="0"/>
                <w:iCs w:val="0"/>
                <w:caps w:val="0"/>
                <w:spacing w:val="0"/>
                <w:kern w:val="0"/>
                <w:sz w:val="18"/>
                <w:szCs w:val="18"/>
                <w:lang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降碳效益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减污效益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1676" w:type="dxa"/>
            <w:vAlign w:val="center"/>
          </w:tcPr>
          <w:p>
            <w:pPr>
              <w:autoSpaceDE w:val="0"/>
              <w:autoSpaceDN w:val="0"/>
              <w:jc w:val="center"/>
              <w:rPr>
                <w:rFonts w:ascii="宋体"/>
                <w:sz w:val="18"/>
                <w:szCs w:val="18"/>
              </w:rPr>
            </w:pPr>
            <w:r>
              <w:rPr>
                <w:rFonts w:ascii="宋体"/>
                <w:sz w:val="18"/>
                <w:szCs w:val="18"/>
              </w:rPr>
              <w:t>团队技术实力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lang w:eastAsia="zh-CN"/>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研发投入</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业务增长率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1676" w:type="dxa"/>
            <w:vAlign w:val="center"/>
          </w:tcPr>
          <w:p>
            <w:pPr>
              <w:autoSpaceDE w:val="0"/>
              <w:autoSpaceDN w:val="0"/>
              <w:jc w:val="center"/>
              <w:rPr>
                <w:rFonts w:ascii="宋体"/>
                <w:sz w:val="18"/>
                <w:szCs w:val="18"/>
              </w:rPr>
            </w:pPr>
            <w:r>
              <w:rPr>
                <w:rFonts w:ascii="宋体"/>
                <w:sz w:val="18"/>
                <w:szCs w:val="18"/>
              </w:rPr>
              <w:t>市场竞争力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产业影响力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行业资质荣誉</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w:t>
            </w:r>
            <w:r>
              <w:rPr>
                <w:rFonts w:hint="eastAsia" w:ascii="宋体"/>
                <w:kern w:val="0"/>
                <w:sz w:val="18"/>
                <w:szCs w:val="18"/>
                <w:lang w:eastAsia="zh-CN"/>
              </w:rPr>
              <w:t>机构颁发的</w:t>
            </w:r>
            <w:r>
              <w:rPr>
                <w:rFonts w:hint="eastAsia" w:ascii="宋体"/>
                <w:kern w:val="0"/>
                <w:sz w:val="18"/>
                <w:szCs w:val="18"/>
              </w:rPr>
              <w:t>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988" w:type="dxa"/>
            <w:gridSpan w:val="2"/>
            <w:vAlign w:val="center"/>
          </w:tcPr>
          <w:p>
            <w:pPr>
              <w:autoSpaceDE w:val="0"/>
              <w:autoSpaceDN w:val="0"/>
              <w:jc w:val="center"/>
              <w:rPr>
                <w:rFonts w:ascii="宋体"/>
                <w:kern w:val="0"/>
                <w:sz w:val="18"/>
                <w:szCs w:val="18"/>
              </w:rPr>
            </w:pPr>
            <w:r>
              <w:rPr>
                <w:rFonts w:ascii="宋体"/>
                <w:kern w:val="0"/>
                <w:sz w:val="18"/>
                <w:szCs w:val="18"/>
              </w:rPr>
              <w:t>设备材料</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autoSpaceDE w:val="0"/>
              <w:autoSpaceDN w:val="0"/>
              <w:jc w:val="center"/>
              <w:rPr>
                <w:rFonts w:hint="eastAsia" w:ascii="宋体" w:eastAsia="宋体"/>
                <w:kern w:val="0"/>
                <w:sz w:val="18"/>
                <w:szCs w:val="18"/>
                <w:lang w:eastAsia="zh-CN"/>
              </w:rPr>
            </w:pPr>
            <w:r>
              <w:rPr>
                <w:rFonts w:ascii="宋体"/>
                <w:kern w:val="0"/>
                <w:sz w:val="18"/>
                <w:szCs w:val="18"/>
              </w:rPr>
              <w:t>能源资源利用</w:t>
            </w:r>
          </w:p>
        </w:tc>
        <w:tc>
          <w:tcPr>
            <w:tcW w:w="1676" w:type="dxa"/>
            <w:vAlign w:val="center"/>
          </w:tcPr>
          <w:p>
            <w:pPr>
              <w:autoSpaceDE w:val="0"/>
              <w:autoSpaceDN w:val="0"/>
              <w:jc w:val="center"/>
              <w:rPr>
                <w:rFonts w:hint="eastAsia" w:ascii="宋体" w:eastAsia="宋体"/>
                <w:kern w:val="0"/>
                <w:sz w:val="18"/>
                <w:szCs w:val="18"/>
                <w:lang w:val="en-US" w:eastAsia="zh-CN"/>
              </w:rPr>
            </w:pPr>
            <w:r>
              <w:rPr>
                <w:rFonts w:hint="eastAsia" w:ascii="宋体"/>
                <w:kern w:val="0"/>
                <w:sz w:val="18"/>
                <w:szCs w:val="18"/>
                <w:lang w:val="en-US" w:eastAsia="zh-CN"/>
              </w:rPr>
              <w:t>能耗</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kern w:val="0"/>
                <w:sz w:val="18"/>
                <w:szCs w:val="18"/>
                <w:lang w:val="en-US"/>
              </w:rPr>
            </w:pPr>
            <w:r>
              <w:rPr>
                <w:rFonts w:hint="eastAsia" w:ascii="宋体"/>
                <w:kern w:val="0"/>
                <w:sz w:val="18"/>
                <w:szCs w:val="18"/>
                <w:lang w:val="en-US" w:eastAsia="zh-CN"/>
              </w:rPr>
              <w:t>可再生利用率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rPr>
            </w:pPr>
            <w:r>
              <w:rPr>
                <w:rFonts w:hint="eastAsia" w:ascii="宋体"/>
                <w:kern w:val="0"/>
                <w:sz w:val="18"/>
                <w:szCs w:val="18"/>
                <w:lang w:val="en-US" w:eastAsia="zh-CN"/>
              </w:rPr>
              <w:t>污染物排放水平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lang w:val="en-US" w:eastAsia="zh-CN"/>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lang w:val="en-US" w:eastAsia="zh-CN"/>
              </w:rPr>
            </w:pPr>
            <w:r>
              <w:rPr>
                <w:rFonts w:hint="eastAsia" w:ascii="宋体"/>
                <w:kern w:val="0"/>
                <w:sz w:val="18"/>
                <w:szCs w:val="18"/>
                <w:lang w:val="en-US" w:eastAsia="zh-CN"/>
              </w:rPr>
              <w:t>温室气体排放水平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2988"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27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Lines="50" w:afterLines="50"/>
        <w:jc w:val="center"/>
      </w:pPr>
      <w:bookmarkStart w:id="112" w:name="_Toc23498"/>
      <w:bookmarkStart w:id="113" w:name="_Toc118281024"/>
      <w:bookmarkStart w:id="114" w:name="_Toc24427"/>
      <w:bookmarkStart w:id="115" w:name="_Toc118282048"/>
      <w:bookmarkStart w:id="116" w:name="_Toc14748"/>
      <w:r>
        <w:rPr>
          <w:rFonts w:hint="eastAsia" w:eastAsia="黑体"/>
        </w:rPr>
        <w:t>绿色低碳产业项目认定综合</w:t>
      </w:r>
      <w:r>
        <w:rPr>
          <w:rFonts w:eastAsia="黑体"/>
        </w:rPr>
        <w:t>评价证明材料列表</w:t>
      </w:r>
    </w:p>
    <w:tbl>
      <w:tblPr>
        <w:tblStyle w:val="35"/>
        <w:tblW w:w="95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39"/>
        <w:gridCol w:w="2317"/>
        <w:gridCol w:w="5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一级指标</w:t>
            </w:r>
          </w:p>
        </w:tc>
        <w:tc>
          <w:tcPr>
            <w:tcW w:w="2317"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三级指标</w:t>
            </w:r>
          </w:p>
        </w:tc>
        <w:tc>
          <w:tcPr>
            <w:tcW w:w="5908"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技术表现</w:t>
            </w:r>
          </w:p>
        </w:tc>
        <w:tc>
          <w:tcPr>
            <w:tcW w:w="2317" w:type="dxa"/>
            <w:tcBorders>
              <w:top w:val="single" w:color="000000" w:sz="8" w:space="0"/>
            </w:tcBorders>
            <w:vAlign w:val="center"/>
          </w:tcPr>
          <w:p>
            <w:pPr>
              <w:autoSpaceDE w:val="0"/>
              <w:autoSpaceDN w:val="0"/>
              <w:jc w:val="center"/>
              <w:rPr>
                <w:rFonts w:ascii="宋体"/>
                <w:sz w:val="18"/>
                <w:szCs w:val="15"/>
              </w:rPr>
            </w:pPr>
            <w:r>
              <w:rPr>
                <w:rFonts w:ascii="宋体"/>
                <w:sz w:val="18"/>
                <w:szCs w:val="15"/>
              </w:rPr>
              <w:t>有效知识产权</w:t>
            </w:r>
          </w:p>
        </w:tc>
        <w:tc>
          <w:tcPr>
            <w:tcW w:w="5908"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2317" w:type="dxa"/>
            <w:vAlign w:val="center"/>
          </w:tcPr>
          <w:p>
            <w:pPr>
              <w:autoSpaceDE w:val="0"/>
              <w:autoSpaceDN w:val="0"/>
              <w:jc w:val="center"/>
              <w:rPr>
                <w:rFonts w:ascii="宋体"/>
                <w:sz w:val="18"/>
                <w:szCs w:val="15"/>
              </w:rPr>
            </w:pPr>
            <w:r>
              <w:rPr>
                <w:rFonts w:hint="eastAsia" w:ascii="宋体"/>
                <w:sz w:val="18"/>
                <w:szCs w:val="15"/>
              </w:rPr>
              <w:t>关键技术先进性</w:t>
            </w:r>
          </w:p>
        </w:tc>
        <w:tc>
          <w:tcPr>
            <w:tcW w:w="5908"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2317" w:type="dxa"/>
            <w:vAlign w:val="center"/>
          </w:tcPr>
          <w:p>
            <w:pPr>
              <w:autoSpaceDE w:val="0"/>
              <w:autoSpaceDN w:val="0"/>
              <w:jc w:val="center"/>
              <w:rPr>
                <w:rFonts w:ascii="宋体"/>
                <w:sz w:val="18"/>
                <w:szCs w:val="15"/>
              </w:rPr>
            </w:pPr>
            <w:r>
              <w:rPr>
                <w:rFonts w:hint="eastAsia" w:ascii="宋体"/>
                <w:sz w:val="18"/>
                <w:szCs w:val="15"/>
              </w:rPr>
              <w:t>环境</w:t>
            </w:r>
            <w:r>
              <w:rPr>
                <w:rFonts w:ascii="宋体"/>
                <w:sz w:val="18"/>
                <w:szCs w:val="15"/>
              </w:rPr>
              <w:t>效益</w:t>
            </w:r>
          </w:p>
        </w:tc>
        <w:tc>
          <w:tcPr>
            <w:tcW w:w="5908"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vMerge w:val="restart"/>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环境表现</w:t>
            </w:r>
          </w:p>
        </w:tc>
        <w:tc>
          <w:tcPr>
            <w:tcW w:w="2317" w:type="dxa"/>
            <w:vAlign w:val="center"/>
          </w:tcPr>
          <w:p>
            <w:pPr>
              <w:autoSpaceDE w:val="0"/>
              <w:autoSpaceDN w:val="0"/>
              <w:jc w:val="center"/>
              <w:rPr>
                <w:rFonts w:ascii="宋体"/>
                <w:kern w:val="0"/>
                <w:sz w:val="18"/>
                <w:szCs w:val="15"/>
              </w:rPr>
            </w:pPr>
            <w:r>
              <w:rPr>
                <w:rFonts w:hint="eastAsia" w:ascii="宋体"/>
                <w:kern w:val="0"/>
                <w:sz w:val="18"/>
                <w:szCs w:val="15"/>
              </w:rPr>
              <w:t>设备材料</w:t>
            </w:r>
          </w:p>
        </w:tc>
        <w:tc>
          <w:tcPr>
            <w:tcW w:w="5908"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1339" w:type="dxa"/>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2317" w:type="dxa"/>
            <w:vAlign w:val="center"/>
          </w:tcPr>
          <w:p>
            <w:pPr>
              <w:autoSpaceDE w:val="0"/>
              <w:autoSpaceDN w:val="0"/>
              <w:jc w:val="center"/>
              <w:rPr>
                <w:rFonts w:ascii="宋体"/>
                <w:kern w:val="0"/>
                <w:sz w:val="18"/>
                <w:szCs w:val="15"/>
              </w:rPr>
            </w:pPr>
            <w:r>
              <w:rPr>
                <w:rFonts w:hint="eastAsia" w:ascii="宋体"/>
                <w:kern w:val="0"/>
                <w:sz w:val="18"/>
                <w:szCs w:val="15"/>
              </w:rPr>
              <w:t>绿色低碳运营</w:t>
            </w:r>
          </w:p>
        </w:tc>
        <w:tc>
          <w:tcPr>
            <w:tcW w:w="5908"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财务报表，项目能耗、耗水、用地及其他企业相关自证材料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39" w:type="dxa"/>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2317" w:type="dxa"/>
            <w:vAlign w:val="center"/>
          </w:tcPr>
          <w:p>
            <w:pPr>
              <w:autoSpaceDE w:val="0"/>
              <w:autoSpaceDN w:val="0"/>
              <w:jc w:val="center"/>
              <w:rPr>
                <w:rFonts w:ascii="宋体"/>
                <w:kern w:val="0"/>
                <w:sz w:val="18"/>
                <w:szCs w:val="15"/>
              </w:rPr>
            </w:pPr>
            <w:r>
              <w:rPr>
                <w:rFonts w:hint="eastAsia" w:ascii="宋体"/>
                <w:kern w:val="0"/>
                <w:sz w:val="18"/>
                <w:szCs w:val="15"/>
              </w:rPr>
              <w:t>污染物排放水平</w:t>
            </w:r>
          </w:p>
        </w:tc>
        <w:tc>
          <w:tcPr>
            <w:tcW w:w="5908"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已开展的项目采用全国污染源监测数据管理与共享系统平台的自行监测数据，未开展的项目采用环境影响评价报告</w:t>
            </w:r>
          </w:p>
        </w:tc>
      </w:tr>
    </w:tbl>
    <w:p>
      <w:pPr>
        <w:pStyle w:val="44"/>
        <w:outlineLvl w:val="1"/>
        <w:rPr>
          <w:rFonts w:ascii="Times New Roman"/>
        </w:rPr>
      </w:pPr>
      <w:r>
        <w:rPr>
          <w:rFonts w:hint="eastAsia" w:ascii="Times New Roman"/>
        </w:rPr>
        <w:t>认定评价</w:t>
      </w:r>
      <w:bookmarkEnd w:id="112"/>
      <w:bookmarkEnd w:id="113"/>
      <w:bookmarkEnd w:id="114"/>
      <w:bookmarkEnd w:id="115"/>
      <w:bookmarkEnd w:id="116"/>
    </w:p>
    <w:p>
      <w:pPr>
        <w:pStyle w:val="48"/>
        <w:spacing w:before="156" w:after="156"/>
        <w:rPr>
          <w:rFonts w:ascii="Times New Roman"/>
        </w:rPr>
      </w:pPr>
      <w:r>
        <w:rPr>
          <w:rFonts w:ascii="Times New Roman"/>
        </w:rPr>
        <w:t>评价方式</w:t>
      </w:r>
    </w:p>
    <w:p>
      <w:pPr>
        <w:pStyle w:val="24"/>
        <w:rPr>
          <w:rFonts w:ascii="Times New Roman"/>
        </w:rPr>
      </w:pPr>
      <w:r>
        <w:rPr>
          <w:rFonts w:ascii="Times New Roman"/>
        </w:rPr>
        <w:t>对照本文件及</w:t>
      </w:r>
      <w:r>
        <w:rPr>
          <w:rFonts w:hint="eastAsia" w:ascii="Times New Roman"/>
        </w:rPr>
        <w:t>《</w:t>
      </w:r>
      <w:r>
        <w:rPr>
          <w:rFonts w:hint="eastAsia" w:ascii="Times New Roman"/>
          <w:lang w:val="en-US" w:eastAsia="zh-CN"/>
        </w:rPr>
        <w:t>深圳市</w:t>
      </w:r>
      <w:r>
        <w:rPr>
          <w:rFonts w:hint="eastAsia" w:ascii="Times New Roman"/>
          <w:lang w:eastAsia="zh-CN"/>
        </w:rPr>
        <w:t>绿色低碳产业</w:t>
      </w:r>
      <w:r>
        <w:rPr>
          <w:rFonts w:hint="eastAsia" w:ascii="Times New Roman"/>
        </w:rPr>
        <w:t>认定评价导则》</w:t>
      </w:r>
      <w:r>
        <w:rPr>
          <w:rFonts w:ascii="Times New Roman"/>
        </w:rPr>
        <w:t>规定的</w:t>
      </w:r>
      <w:r>
        <w:rPr>
          <w:rFonts w:hint="eastAsia" w:ascii="Times New Roman"/>
          <w:lang w:eastAsia="zh-C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48"/>
        <w:spacing w:before="156" w:after="156"/>
        <w:rPr>
          <w:rFonts w:ascii="Times New Roman"/>
        </w:rPr>
      </w:pPr>
      <w:r>
        <w:rPr>
          <w:rFonts w:ascii="Times New Roman"/>
        </w:rPr>
        <w:t>评价</w:t>
      </w:r>
      <w:r>
        <w:rPr>
          <w:rFonts w:hint="eastAsia" w:ascii="Times New Roman"/>
        </w:rPr>
        <w:t>打分</w:t>
      </w:r>
    </w:p>
    <w:p>
      <w:pPr>
        <w:pStyle w:val="53"/>
        <w:numPr>
          <w:ilvl w:val="3"/>
          <w:numId w:val="2"/>
        </w:numPr>
        <w:spacing w:before="156" w:after="156"/>
        <w:rPr>
          <w:rFonts w:hint="eastAsia" w:hAnsi="宋体" w:cs="宋体"/>
          <w:lang w:eastAsia="zh-CN"/>
        </w:rPr>
      </w:pPr>
      <w:r>
        <w:rPr>
          <w:rFonts w:hint="eastAsia"/>
          <w:lang w:eastAsia="zh-CN"/>
        </w:rPr>
        <w:t>一般要求</w:t>
      </w:r>
    </w:p>
    <w:p>
      <w:pPr>
        <w:pStyle w:val="24"/>
        <w:rPr>
          <w:rFonts w:hAnsi="宋体" w:cs="宋体"/>
        </w:rPr>
      </w:pPr>
      <w:r>
        <w:rPr>
          <w:rFonts w:hint="eastAsia" w:hAnsi="宋体" w:cs="宋体"/>
          <w:lang w:eastAsia="zh-CN"/>
        </w:rPr>
        <w:t>绿色低碳产业</w:t>
      </w:r>
      <w:r>
        <w:rPr>
          <w:rFonts w:hint="eastAsia" w:hAnsi="宋体" w:cs="宋体"/>
        </w:rPr>
        <w:t>认定评价综合值为各项指标得分的累计叠加值，满分为100分，计算公式如下：</w:t>
      </w:r>
    </w:p>
    <w:p>
      <w:pPr>
        <w:pStyle w:val="24"/>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hint="eastAsia" w:ascii="Cambria Math" w:hAnsi="Cambria Math" w:cs="宋体"/>
          </w:rPr>
          <m:t>S</m:t>
        </m:r>
      </m:oMath>
      <w:r>
        <w:rPr>
          <w:rFonts w:hint="eastAsia" w:hAnsi="宋体" w:cs="宋体"/>
        </w:rPr>
        <w:t>——</w:t>
      </w:r>
      <w:r>
        <w:rPr>
          <w:rFonts w:hint="eastAsia" w:hAnsi="宋体" w:cs="宋体"/>
          <w:lang w:eastAsia="zh-CN"/>
        </w:rPr>
        <w:t>绿色低碳产业</w:t>
      </w:r>
      <w:r>
        <w:rPr>
          <w:rFonts w:hint="eastAsia" w:hAnsi="宋体" w:cs="宋体"/>
        </w:rPr>
        <w:t>认定评价综合值；</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4"/>
        <w:rPr>
          <w:rFonts w:hint="eastAsia" w:hAnsi="宋体" w:cs="宋体"/>
        </w:rPr>
      </w:pPr>
      <w:r>
        <w:rPr>
          <w:rFonts w:hint="eastAsia" w:hAnsi="宋体" w:cs="宋体"/>
        </w:rPr>
        <w:t>若存在不参评项，则</w:t>
      </w:r>
      <w:r>
        <w:rPr>
          <w:rFonts w:hint="eastAsia" w:hAnsi="宋体" w:cs="宋体"/>
          <w:lang w:eastAsia="zh-CN"/>
        </w:rPr>
        <w:t>绿色低碳产业</w:t>
      </w:r>
      <w:r>
        <w:rPr>
          <w:rFonts w:hint="eastAsia" w:hAnsi="宋体" w:cs="宋体"/>
        </w:rPr>
        <w:t>认定评价综合值折算方法为：综合值=参评项得分值/参评项总分值×100%。</w:t>
      </w:r>
    </w:p>
    <w:p>
      <w:pPr>
        <w:pStyle w:val="53"/>
        <w:numPr>
          <w:ilvl w:val="3"/>
          <w:numId w:val="2"/>
        </w:numPr>
        <w:spacing w:before="156" w:after="156"/>
        <w:rPr>
          <w:rFonts w:hint="eastAsia" w:hAnsi="宋体" w:cs="宋体"/>
        </w:rPr>
      </w:pPr>
      <w:r>
        <w:rPr>
          <w:rFonts w:hint="eastAsia" w:hAnsi="宋体" w:cs="宋体"/>
          <w:lang w:eastAsia="zh-CN"/>
        </w:rPr>
        <w:t>特殊要求</w:t>
      </w:r>
    </w:p>
    <w:p>
      <w:pPr>
        <w:pStyle w:val="24"/>
        <w:rPr>
          <w:rFonts w:hint="eastAsia" w:hAnsi="宋体" w:cs="宋体"/>
        </w:rPr>
      </w:pPr>
      <w:r>
        <w:rPr>
          <w:rFonts w:hint="eastAsia" w:hAnsi="宋体" w:cs="宋体"/>
          <w:lang w:eastAsia="zh-CN"/>
        </w:rPr>
        <w:t>绿色低碳产业企业认定评价最终得分为综合值得分；绿色低碳产业项目认定评价达到符合性评价要求的，获得基础分</w:t>
      </w:r>
      <w:r>
        <w:rPr>
          <w:rFonts w:hint="eastAsia" w:hAnsi="宋体" w:cs="宋体"/>
          <w:lang w:val="en-US" w:eastAsia="zh-CN"/>
        </w:rPr>
        <w:t>30分，最终得分为基础分值与综合值得分累加。</w:t>
      </w:r>
    </w:p>
    <w:p>
      <w:pPr>
        <w:pStyle w:val="44"/>
        <w:outlineLvl w:val="1"/>
        <w:rPr>
          <w:rFonts w:ascii="Times New Roman"/>
        </w:rPr>
      </w:pPr>
      <w:bookmarkStart w:id="117" w:name="_Toc13130"/>
      <w:bookmarkStart w:id="118" w:name="_Toc17910"/>
      <w:bookmarkStart w:id="119" w:name="_Toc118282049"/>
      <w:bookmarkStart w:id="120" w:name="_Toc118281025"/>
      <w:r>
        <w:rPr>
          <w:rFonts w:hint="eastAsia" w:ascii="Times New Roman"/>
        </w:rPr>
        <w:t>编制报告</w:t>
      </w:r>
      <w:bookmarkEnd w:id="117"/>
      <w:bookmarkEnd w:id="118"/>
      <w:bookmarkEnd w:id="119"/>
      <w:bookmarkEnd w:id="120"/>
    </w:p>
    <w:p>
      <w:pPr>
        <w:autoSpaceDE w:val="0"/>
        <w:autoSpaceDN w:val="0"/>
        <w:ind w:firstLine="420" w:firstLineChars="200"/>
        <w:rPr>
          <w:rFonts w:ascii="宋体" w:hAnsi="宋体" w:cs="宋体"/>
        </w:rPr>
      </w:pPr>
      <w:r>
        <w:rPr>
          <w:rFonts w:hint="eastAsia" w:ascii="宋体" w:hAnsi="宋体" w:cs="宋体"/>
        </w:rPr>
        <w:t>宜参照附录B模板编制</w:t>
      </w:r>
      <w:r>
        <w:rPr>
          <w:rFonts w:hint="eastAsia" w:ascii="宋体" w:hAnsi="宋体" w:cs="宋体"/>
          <w:lang w:eastAsia="zh-CN"/>
        </w:rPr>
        <w:t>绿色低碳产业</w:t>
      </w:r>
      <w:r>
        <w:rPr>
          <w:rFonts w:hint="eastAsia" w:ascii="宋体" w:hAnsi="宋体" w:cs="宋体"/>
        </w:rPr>
        <w:t>认定评价报告，</w:t>
      </w:r>
      <w:r>
        <w:rPr>
          <w:rFonts w:hint="eastAsia" w:hAnsi="宋体" w:cs="宋体"/>
        </w:rPr>
        <w:t>给出</w:t>
      </w:r>
      <w:r>
        <w:rPr>
          <w:rFonts w:hint="eastAsia" w:hAnsi="宋体" w:cs="宋体"/>
          <w:lang w:eastAsia="zh-CN"/>
        </w:rPr>
        <w:t>绿色低碳产业</w:t>
      </w:r>
      <w:r>
        <w:rPr>
          <w:rFonts w:hint="eastAsia" w:hAnsi="宋体" w:cs="宋体"/>
        </w:rPr>
        <w:t>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ind w:firstLine="420" w:firstLineChars="200"/>
        <w:rPr>
          <w:rFonts w:hint="eastAsia" w:ascii="宋体" w:hAnsi="宋体" w:cs="宋体"/>
        </w:rPr>
      </w:pPr>
      <w:r>
        <w:rPr>
          <w:rFonts w:hint="eastAsia" w:ascii="宋体" w:hAnsi="宋体" w:cs="宋体"/>
        </w:rPr>
        <w:t>——相关支持材料。</w:t>
      </w:r>
    </w:p>
    <w:p>
      <w:pPr>
        <w:pStyle w:val="44"/>
        <w:outlineLvl w:val="1"/>
        <w:rPr>
          <w:rFonts w:hint="eastAsia" w:ascii="Times New Roman"/>
          <w:lang w:eastAsia="zh-CN"/>
        </w:rPr>
      </w:pPr>
      <w:bookmarkStart w:id="121" w:name="_Toc19066"/>
      <w:bookmarkStart w:id="122" w:name="_Toc13974"/>
      <w:r>
        <w:rPr>
          <w:rFonts w:hint="eastAsia" w:ascii="Times New Roman"/>
          <w:lang w:eastAsia="zh-CN"/>
        </w:rPr>
        <w:t>专家评审</w:t>
      </w:r>
      <w:bookmarkEnd w:id="121"/>
      <w:bookmarkEnd w:id="122"/>
    </w:p>
    <w:p>
      <w:pPr>
        <w:pStyle w:val="24"/>
        <w:rPr>
          <w:rFonts w:hint="eastAsia" w:hAnsi="宋体" w:cs="宋体"/>
          <w:highlight w:val="none"/>
          <w:lang w:eastAsia="zh-CN"/>
        </w:rPr>
      </w:pPr>
      <w:r>
        <w:rPr>
          <w:rFonts w:hint="eastAsia" w:hAnsi="宋体" w:cs="宋体"/>
          <w:highlight w:val="none"/>
          <w:lang w:eastAsia="zh-CN"/>
        </w:rPr>
        <w:t>绿色低碳产业</w:t>
      </w:r>
      <w:r>
        <w:rPr>
          <w:rFonts w:hint="eastAsia" w:hAnsi="宋体" w:cs="宋体"/>
          <w:highlight w:val="none"/>
        </w:rPr>
        <w:t>认定主管部门组织具备</w:t>
      </w:r>
      <w:r>
        <w:rPr>
          <w:rFonts w:hint="eastAsia" w:hAnsi="宋体" w:cs="宋体"/>
          <w:highlight w:val="none"/>
          <w:lang w:eastAsia="zh-CN"/>
        </w:rPr>
        <w:t>充电、换电设施设备制造与运营</w:t>
      </w:r>
      <w:r>
        <w:rPr>
          <w:rFonts w:hint="eastAsia" w:hAnsi="宋体" w:cs="宋体"/>
          <w:highlight w:val="none"/>
        </w:rPr>
        <w:t>产业专业技术能力的专家，</w:t>
      </w:r>
      <w:r>
        <w:rPr>
          <w:rFonts w:hint="eastAsia" w:hAnsi="宋体" w:cs="宋体"/>
          <w:highlight w:val="none"/>
          <w:lang w:eastAsia="zh-CN"/>
        </w:rPr>
        <w:t>依据《</w:t>
      </w:r>
      <w:r>
        <w:rPr>
          <w:rFonts w:hint="eastAsia" w:hAnsi="宋体" w:cs="宋体"/>
          <w:highlight w:val="none"/>
          <w:lang w:val="en-US" w:eastAsia="zh-CN"/>
        </w:rPr>
        <w:t>深圳市</w:t>
      </w:r>
      <w:r>
        <w:rPr>
          <w:rFonts w:hint="eastAsia" w:hAnsi="宋体" w:cs="宋体"/>
          <w:highlight w:val="none"/>
          <w:lang w:eastAsia="zh-CN"/>
        </w:rPr>
        <w:t>绿色</w:t>
      </w:r>
      <w:r>
        <w:rPr>
          <w:rFonts w:hint="eastAsia" w:hAnsi="宋体" w:cs="宋体"/>
          <w:highlight w:val="none"/>
          <w:lang w:val="en-US" w:eastAsia="zh-CN"/>
        </w:rPr>
        <w:t>低碳</w:t>
      </w:r>
      <w:r>
        <w:rPr>
          <w:rFonts w:hint="eastAsia" w:hAnsi="宋体" w:cs="宋体"/>
          <w:highlight w:val="none"/>
          <w:lang w:eastAsia="zh-CN"/>
        </w:rPr>
        <w:t>产业认定评价导则》</w:t>
      </w:r>
      <w:r>
        <w:rPr>
          <w:rFonts w:hint="eastAsia" w:hAnsi="宋体" w:cs="宋体"/>
          <w:highlight w:val="none"/>
          <w:lang w:val="en-US" w:eastAsia="zh-CN"/>
        </w:rPr>
        <w:t>及</w:t>
      </w:r>
      <w:r>
        <w:rPr>
          <w:rFonts w:hint="eastAsia" w:hAnsi="宋体" w:cs="宋体"/>
          <w:highlight w:val="none"/>
          <w:lang w:eastAsia="zh-CN"/>
        </w:rPr>
        <w:t>本文件要求</w:t>
      </w:r>
      <w:r>
        <w:rPr>
          <w:rFonts w:hint="eastAsia" w:hAnsi="宋体" w:cs="宋体"/>
          <w:highlight w:val="none"/>
        </w:rPr>
        <w:t>对申报材料进行评审打分</w:t>
      </w:r>
      <w:r>
        <w:rPr>
          <w:rFonts w:hint="eastAsia" w:hAnsi="宋体" w:cs="宋体"/>
          <w:highlight w:val="none"/>
          <w:lang w:val="en-US" w:eastAsia="zh-CN"/>
        </w:rPr>
        <w:t>并出具评审结论</w:t>
      </w:r>
      <w:r>
        <w:rPr>
          <w:rFonts w:hint="eastAsia" w:hAnsi="宋体" w:cs="宋体"/>
          <w:highlight w:val="none"/>
          <w:lang w:eastAsia="zh-CN"/>
        </w:rPr>
        <w:t>。</w:t>
      </w:r>
    </w:p>
    <w:p>
      <w:pPr>
        <w:pStyle w:val="24"/>
        <w:rPr>
          <w:rFonts w:hint="eastAsia" w:hAnsi="宋体" w:cs="宋体"/>
          <w:highlight w:val="none"/>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r>
        <w:rPr>
          <w:rFonts w:hint="eastAsia" w:hAnsi="宋体" w:cs="宋体"/>
          <w:highlight w:val="none"/>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86"/>
        <w:rPr>
          <w:rFonts w:ascii="Times New Roman"/>
        </w:rPr>
      </w:pPr>
      <w:bookmarkStart w:id="123" w:name="_Toc82684162"/>
      <w:bookmarkEnd w:id="123"/>
      <w:bookmarkStart w:id="124" w:name="_Toc82684159"/>
      <w:bookmarkEnd w:id="124"/>
      <w:bookmarkStart w:id="125" w:name="_Toc82684163"/>
      <w:bookmarkEnd w:id="125"/>
      <w:bookmarkStart w:id="126" w:name="_Toc82684160"/>
      <w:bookmarkEnd w:id="126"/>
      <w:bookmarkStart w:id="127" w:name="_Toc82684170"/>
      <w:bookmarkEnd w:id="127"/>
      <w:bookmarkStart w:id="128" w:name="_Toc82684158"/>
      <w:bookmarkEnd w:id="128"/>
      <w:bookmarkStart w:id="129" w:name="_Toc82684164"/>
      <w:bookmarkEnd w:id="129"/>
      <w:bookmarkStart w:id="130" w:name="_Toc82684165"/>
      <w:bookmarkEnd w:id="130"/>
      <w:bookmarkStart w:id="131" w:name="_Toc82684168"/>
      <w:bookmarkEnd w:id="131"/>
      <w:bookmarkStart w:id="132" w:name="_Toc82684161"/>
      <w:bookmarkEnd w:id="132"/>
      <w:bookmarkStart w:id="133" w:name="_Toc82684167"/>
      <w:bookmarkEnd w:id="133"/>
      <w:bookmarkStart w:id="134" w:name="_Toc82684166"/>
      <w:bookmarkEnd w:id="134"/>
      <w:bookmarkStart w:id="135" w:name="_Toc82684157"/>
      <w:bookmarkEnd w:id="135"/>
      <w:bookmarkStart w:id="136" w:name="_Toc82684169"/>
      <w:bookmarkEnd w:id="136"/>
      <w:bookmarkStart w:id="137" w:name="_Toc18080"/>
      <w:bookmarkStart w:id="138" w:name="_Toc3824"/>
      <w:r>
        <w:rPr>
          <w:rFonts w:ascii="Times New Roman"/>
        </w:rPr>
        <w:br w:type="textWrapping"/>
      </w:r>
      <w:bookmarkStart w:id="139" w:name="_Toc82684171"/>
      <w:bookmarkStart w:id="140" w:name="_Toc118282050"/>
      <w:r>
        <w:rPr>
          <w:rFonts w:ascii="Times New Roman"/>
        </w:rPr>
        <w:t>（资料性）</w:t>
      </w:r>
      <w:r>
        <w:rPr>
          <w:rFonts w:ascii="Times New Roman"/>
        </w:rPr>
        <w:br w:type="textWrapping"/>
      </w:r>
      <w:bookmarkEnd w:id="139"/>
      <w:r>
        <w:rPr>
          <w:rFonts w:hint="eastAsia" w:ascii="Times New Roman"/>
          <w:lang w:eastAsia="zh-CN"/>
        </w:rPr>
        <w:t>充电、换电设施设备制造与运营</w:t>
      </w:r>
      <w:r>
        <w:rPr>
          <w:rFonts w:hint="eastAsia" w:ascii="Times New Roman"/>
        </w:rPr>
        <w:t>行业</w:t>
      </w:r>
      <w:r>
        <w:rPr>
          <w:rFonts w:hint="eastAsia" w:ascii="Times New Roman"/>
          <w:lang w:eastAsia="zh-CN"/>
        </w:rPr>
        <w:t>绿色低碳产业</w:t>
      </w:r>
      <w:r>
        <w:rPr>
          <w:rFonts w:ascii="Times New Roman"/>
        </w:rPr>
        <w:t>认定评价指标表</w:t>
      </w:r>
      <w:bookmarkEnd w:id="137"/>
      <w:bookmarkEnd w:id="138"/>
      <w:bookmarkEnd w:id="140"/>
    </w:p>
    <w:p>
      <w:pPr>
        <w:autoSpaceDE w:val="0"/>
        <w:autoSpaceDN w:val="0"/>
        <w:ind w:firstLine="420" w:firstLineChars="200"/>
      </w:pPr>
      <w:bookmarkStart w:id="141" w:name="BKCKWX"/>
      <w:r>
        <w:rPr>
          <w:rFonts w:hint="eastAsia"/>
          <w:lang w:eastAsia="zh-CN"/>
        </w:rPr>
        <w:t>充电、换电设施设备制造与运营</w:t>
      </w:r>
      <w:r>
        <w:rPr>
          <w:rFonts w:hint="eastAsia"/>
          <w:lang w:val="en-US" w:eastAsia="zh-CN"/>
        </w:rPr>
        <w:t>行业绿色低碳产业</w:t>
      </w:r>
      <w:r>
        <w:rPr>
          <w:rFonts w:hint="eastAsia"/>
          <w:lang w:eastAsia="zh-CN"/>
        </w:rPr>
        <w:t>企业</w:t>
      </w:r>
      <w:r>
        <w:t>认定评价指标表见</w:t>
      </w:r>
      <w:r>
        <w:rPr>
          <w:rFonts w:asciiTheme="minorEastAsia" w:hAnsiTheme="minorEastAsia" w:eastAsiaTheme="minorEastAsia"/>
        </w:rPr>
        <w:t>表A.1</w:t>
      </w:r>
      <w:r>
        <w:rPr>
          <w:rFonts w:hint="eastAsia" w:asciiTheme="minorEastAsia" w:hAnsiTheme="minorEastAsia" w:eastAsiaTheme="minorEastAsia"/>
        </w:rPr>
        <w:t>和表A.2</w:t>
      </w:r>
      <w:r>
        <w:rPr>
          <w:rFonts w:hint="eastAsia" w:asciiTheme="minorEastAsia" w:hAnsiTheme="minorEastAsia" w:eastAsiaTheme="minorEastAsia"/>
          <w:lang w:eastAsia="zh-CN"/>
        </w:rPr>
        <w:t>，</w:t>
      </w:r>
      <w:r>
        <w:rPr>
          <w:rFonts w:hint="eastAsia"/>
          <w:lang w:eastAsia="zh-CN"/>
        </w:rPr>
        <w:t>充电、换电设施设备制造与运营</w:t>
      </w:r>
      <w:r>
        <w:rPr>
          <w:rFonts w:hint="eastAsia"/>
          <w:lang w:val="en-US" w:eastAsia="zh-CN"/>
        </w:rPr>
        <w:t>行业绿色低碳产业</w:t>
      </w:r>
      <w:r>
        <w:rPr>
          <w:rFonts w:hint="eastAsia" w:asciiTheme="minorEastAsia" w:hAnsiTheme="minorEastAsia" w:eastAsiaTheme="minorEastAsia"/>
          <w:lang w:eastAsia="zh-CN"/>
        </w:rPr>
        <w:t>项目认定评价指标见表</w:t>
      </w:r>
      <w:r>
        <w:rPr>
          <w:rFonts w:asciiTheme="minorEastAsia" w:hAnsiTheme="minorEastAsia" w:eastAsiaTheme="minorEastAsia"/>
        </w:rPr>
        <w:t>A.</w:t>
      </w:r>
      <w:r>
        <w:rPr>
          <w:rFonts w:hint="eastAsia" w:asciiTheme="minorEastAsia" w:hAnsiTheme="minorEastAsia" w:eastAsiaTheme="minorEastAsia"/>
          <w:lang w:val="en-US" w:eastAsia="zh-CN"/>
        </w:rPr>
        <w:t>3</w:t>
      </w:r>
      <w:r>
        <w:rPr>
          <w:rFonts w:hint="eastAsia" w:asciiTheme="minorEastAsia" w:hAnsiTheme="minorEastAsia" w:eastAsiaTheme="minorEastAsia"/>
        </w:rPr>
        <w:t>和表A.</w:t>
      </w:r>
      <w:r>
        <w:rPr>
          <w:rFonts w:hint="eastAsia" w:asciiTheme="minorEastAsia" w:hAnsiTheme="minorEastAsia" w:eastAsiaTheme="minorEastAsia"/>
          <w:lang w:val="en-US" w:eastAsia="zh-CN"/>
        </w:rPr>
        <w:t>4。</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 xml:space="preserve">表A.1 </w:t>
      </w:r>
      <w:r>
        <w:rPr>
          <w:rFonts w:hint="eastAsia" w:ascii="黑体" w:hAnsi="黑体" w:eastAsia="黑体" w:cs="黑体"/>
          <w:szCs w:val="21"/>
          <w:lang w:eastAsia="zh-CN"/>
        </w:rPr>
        <w:t>充电、换电设施设备制造与运营</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927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36"/>
        <w:gridCol w:w="1212"/>
        <w:gridCol w:w="4658"/>
        <w:gridCol w:w="1134"/>
        <w:gridCol w:w="113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评价类型</w:t>
            </w:r>
          </w:p>
        </w:tc>
        <w:tc>
          <w:tcPr>
            <w:tcW w:w="1212"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4658"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评分标准</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restart"/>
            <w:tcBorders>
              <w:top w:val="single" w:color="auto" w:sz="12" w:space="0"/>
            </w:tcBorders>
            <w:vAlign w:val="center"/>
          </w:tcPr>
          <w:p>
            <w:pPr>
              <w:autoSpaceDE w:val="0"/>
              <w:autoSpaceDN w:val="0"/>
              <w:jc w:val="center"/>
              <w:rPr>
                <w:rFonts w:ascii="宋体"/>
                <w:b/>
                <w:sz w:val="18"/>
                <w:szCs w:val="18"/>
              </w:rPr>
            </w:pPr>
            <w:r>
              <w:rPr>
                <w:rFonts w:ascii="宋体"/>
                <w:b/>
                <w:sz w:val="18"/>
                <w:szCs w:val="18"/>
              </w:rPr>
              <w:t>符合性评价</w:t>
            </w:r>
          </w:p>
        </w:tc>
        <w:tc>
          <w:tcPr>
            <w:tcW w:w="1212"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4658" w:type="dxa"/>
            <w:tcBorders>
              <w:top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申报认定评价的主营业务应属于充电设施及设备制造、换电设施及设备制造、充换电设施运营等</w:t>
            </w:r>
            <w:r>
              <w:rPr>
                <w:rFonts w:hint="eastAsia" w:ascii="宋体"/>
                <w:sz w:val="18"/>
                <w:szCs w:val="18"/>
                <w:lang w:eastAsia="zh-CN"/>
              </w:rPr>
              <w:t>充电、换电设施设备制造与运营</w:t>
            </w:r>
            <w:r>
              <w:rPr>
                <w:rFonts w:hint="eastAsia" w:ascii="宋体"/>
                <w:sz w:val="18"/>
                <w:szCs w:val="18"/>
              </w:rPr>
              <w:t>产业</w:t>
            </w:r>
            <w:r>
              <w:rPr>
                <w:rFonts w:hint="eastAsia" w:ascii="宋体" w:hAnsi="Times New Roman" w:cs="Times New Roman"/>
                <w:sz w:val="18"/>
                <w:szCs w:val="18"/>
                <w:highlight w:val="none"/>
              </w:rPr>
              <w:t>，且其绿色业务占比达到50%或以上，或跨界规模达到1亿元、在国内外新兴领域超前领先。</w:t>
            </w:r>
          </w:p>
        </w:tc>
        <w:tc>
          <w:tcPr>
            <w:tcW w:w="1134"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top w:val="single" w:color="auto" w:sz="12" w:space="0"/>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continue"/>
            <w:tcBorders>
              <w:bottom w:val="single" w:color="auto" w:sz="12" w:space="0"/>
            </w:tcBorders>
            <w:vAlign w:val="center"/>
          </w:tcPr>
          <w:p>
            <w:pPr>
              <w:autoSpaceDE w:val="0"/>
              <w:autoSpaceDN w:val="0"/>
              <w:jc w:val="center"/>
              <w:rPr>
                <w:rFonts w:ascii="宋体"/>
                <w:b/>
                <w:sz w:val="18"/>
                <w:szCs w:val="18"/>
              </w:rPr>
            </w:pPr>
          </w:p>
        </w:tc>
        <w:tc>
          <w:tcPr>
            <w:tcW w:w="1212"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4658" w:type="dxa"/>
            <w:tcBorders>
              <w:bottom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提供的产品或服务应符合国家、广东省及深圳市相关主管部门发布的法律法规和政策标准要求，相关充电设施及设备制造、换电设施及设备制造、充换电设施运营情况符合深圳市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34"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bottom w:val="single" w:color="auto" w:sz="12" w:space="0"/>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 xml:space="preserve">表A.2 </w:t>
      </w:r>
      <w:r>
        <w:rPr>
          <w:rFonts w:hint="eastAsia" w:ascii="黑体" w:hAnsi="黑体" w:eastAsia="黑体" w:cs="黑体"/>
          <w:szCs w:val="21"/>
          <w:lang w:eastAsia="zh-CN"/>
        </w:rPr>
        <w:t>充电、换电设施设备制造与运营</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6"/>
        <w:gridCol w:w="616"/>
        <w:gridCol w:w="218"/>
        <w:gridCol w:w="836"/>
        <w:gridCol w:w="1978"/>
        <w:gridCol w:w="3022"/>
        <w:gridCol w:w="1178"/>
        <w:gridCol w:w="11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一级指标</w:t>
            </w:r>
          </w:p>
        </w:tc>
        <w:tc>
          <w:tcPr>
            <w:tcW w:w="616"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二级指标</w:t>
            </w:r>
          </w:p>
        </w:tc>
        <w:tc>
          <w:tcPr>
            <w:tcW w:w="1054" w:type="dxa"/>
            <w:gridSpan w:val="2"/>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三级指标</w:t>
            </w:r>
          </w:p>
        </w:tc>
        <w:tc>
          <w:tcPr>
            <w:tcW w:w="1978"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3022"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评价得分</w:t>
            </w:r>
            <w:r>
              <w:rPr>
                <w:rFonts w:hint="eastAsia" w:ascii="宋体"/>
                <w:b/>
                <w:sz w:val="18"/>
                <w:szCs w:val="18"/>
              </w:rPr>
              <w:t>（分）</w:t>
            </w:r>
          </w:p>
        </w:tc>
        <w:tc>
          <w:tcPr>
            <w:tcW w:w="1178"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125" w:type="dxa"/>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616" w:type="dxa"/>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1054" w:type="dxa"/>
            <w:gridSpan w:val="2"/>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978" w:type="dxa"/>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近五年内获得有效知识产权的数量。</w:t>
            </w:r>
          </w:p>
        </w:tc>
        <w:tc>
          <w:tcPr>
            <w:tcW w:w="3022" w:type="dxa"/>
            <w:tcBorders>
              <w:top w:val="single" w:color="auto" w:sz="12" w:space="0"/>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w:t>
            </w:r>
            <w:r>
              <w:rPr>
                <w:rFonts w:hint="eastAsia" w:hAnsi="宋体" w:cs="宋体"/>
                <w:sz w:val="18"/>
                <w:szCs w:val="18"/>
                <w:highlight w:val="none"/>
                <w:lang w:val="en-US" w:eastAsia="zh-CN"/>
              </w:rPr>
              <w:t>20</w:t>
            </w:r>
            <w:r>
              <w:rPr>
                <w:rFonts w:hint="eastAsia" w:ascii="宋体" w:hAnsi="宋体" w:eastAsia="宋体" w:cs="宋体"/>
                <w:sz w:val="18"/>
                <w:szCs w:val="18"/>
                <w:highlight w:val="none"/>
                <w:lang w:val="en-US" w:eastAsia="zh-CN"/>
              </w:rPr>
              <w:t>（5分）；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w:t>
            </w:r>
            <w:r>
              <w:rPr>
                <w:rFonts w:hint="eastAsia" w:hAnsi="宋体" w:cs="宋体"/>
                <w:sz w:val="18"/>
                <w:szCs w:val="18"/>
                <w:highlight w:val="none"/>
                <w:lang w:val="en-US" w:eastAsia="zh-CN"/>
              </w:rPr>
              <w:t>10</w:t>
            </w:r>
            <w:r>
              <w:rPr>
                <w:rFonts w:hint="eastAsia" w:ascii="宋体" w:hAnsi="宋体" w:eastAsia="宋体" w:cs="宋体"/>
                <w:sz w:val="18"/>
                <w:szCs w:val="18"/>
                <w:highlight w:val="none"/>
                <w:lang w:val="en-US" w:eastAsia="zh-CN"/>
              </w:rPr>
              <w:t>,</w:t>
            </w:r>
            <w:r>
              <w:rPr>
                <w:rFonts w:hint="eastAsia" w:hAnsi="宋体" w:cs="宋体"/>
                <w:sz w:val="18"/>
                <w:szCs w:val="18"/>
                <w:highlight w:val="none"/>
                <w:lang w:val="en-US" w:eastAsia="zh-CN"/>
              </w:rPr>
              <w:t>20</w:t>
            </w:r>
            <w:r>
              <w:rPr>
                <w:rFonts w:hint="eastAsia" w:ascii="宋体" w:hAnsi="宋体" w:eastAsia="宋体" w:cs="宋体"/>
                <w:sz w:val="18"/>
                <w:szCs w:val="18"/>
                <w:highlight w:val="none"/>
                <w:lang w:val="en-US" w:eastAsia="zh-CN"/>
              </w:rPr>
              <w:t>)（3分）；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c.[1,</w:t>
            </w:r>
            <w:r>
              <w:rPr>
                <w:rFonts w:hint="eastAsia" w:hAnsi="宋体" w:cs="宋体"/>
                <w:sz w:val="18"/>
                <w:szCs w:val="18"/>
                <w:highlight w:val="none"/>
                <w:lang w:val="en-US" w:eastAsia="zh-CN"/>
              </w:rPr>
              <w:t>10</w:t>
            </w:r>
            <w:r>
              <w:rPr>
                <w:rFonts w:hint="eastAsia" w:ascii="宋体" w:hAnsi="宋体" w:eastAsia="宋体" w:cs="宋体"/>
                <w:sz w:val="18"/>
                <w:szCs w:val="18"/>
                <w:highlight w:val="none"/>
                <w:lang w:val="en-US" w:eastAsia="zh-CN"/>
              </w:rPr>
              <w:t>)（1分）；</w:t>
            </w:r>
          </w:p>
          <w:p>
            <w:pPr>
              <w:autoSpaceDE w:val="0"/>
              <w:autoSpaceDN w:val="0"/>
              <w:jc w:val="both"/>
              <w:rPr>
                <w:rFonts w:ascii="宋体"/>
                <w:sz w:val="18"/>
                <w:szCs w:val="18"/>
              </w:rPr>
            </w:pPr>
            <w:r>
              <w:rPr>
                <w:rFonts w:hint="eastAsia" w:ascii="宋体" w:hAnsi="宋体" w:eastAsia="宋体" w:cs="宋体"/>
                <w:sz w:val="18"/>
                <w:szCs w:val="18"/>
                <w:highlight w:val="none"/>
                <w:lang w:val="en-US" w:eastAsia="zh-CN"/>
              </w:rPr>
              <w:t>d.（0,1)（0分）。</w:t>
            </w:r>
          </w:p>
        </w:tc>
        <w:tc>
          <w:tcPr>
            <w:tcW w:w="1178" w:type="dxa"/>
            <w:tcBorders>
              <w:top w:val="single" w:color="auto" w:sz="12" w:space="0"/>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1125" w:type="dxa"/>
            <w:tcBorders>
              <w:top w:val="single" w:color="auto" w:sz="12" w:space="0"/>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978" w:type="dxa"/>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近五年内参与制修订标准的数量。</w:t>
            </w:r>
          </w:p>
        </w:tc>
        <w:tc>
          <w:tcPr>
            <w:tcW w:w="3022" w:type="dxa"/>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a.≥2（3分）；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b.[1,2)（2分）；</w:t>
            </w:r>
          </w:p>
          <w:p>
            <w:pPr>
              <w:autoSpaceDE w:val="0"/>
              <w:autoSpaceDN w:val="0"/>
              <w:jc w:val="both"/>
              <w:rPr>
                <w:rFonts w:hint="eastAsia" w:ascii="宋体" w:hAnsi="宋体" w:eastAsia="宋体" w:cs="宋体"/>
                <w:sz w:val="18"/>
                <w:szCs w:val="18"/>
              </w:rPr>
            </w:pPr>
            <w:r>
              <w:rPr>
                <w:rFonts w:hint="eastAsia" w:ascii="宋体" w:hAnsi="宋体" w:eastAsia="宋体" w:cs="宋体"/>
                <w:sz w:val="18"/>
                <w:szCs w:val="18"/>
                <w:highlight w:val="none"/>
                <w:lang w:val="en-US" w:eastAsia="zh-CN"/>
              </w:rPr>
              <w:t>c.（0,1)（1分）。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绿电采购</w:t>
            </w:r>
          </w:p>
        </w:tc>
        <w:tc>
          <w:tcPr>
            <w:tcW w:w="1978" w:type="dxa"/>
            <w:tcBorders>
              <w:tl2br w:val="nil"/>
              <w:tr2bl w:val="nil"/>
            </w:tcBorders>
            <w:vAlign w:val="center"/>
          </w:tcPr>
          <w:p>
            <w:pPr>
              <w:autoSpaceDE w:val="0"/>
              <w:autoSpaceDN w:val="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绿色电力消费的比例。</w:t>
            </w:r>
          </w:p>
        </w:tc>
        <w:tc>
          <w:tcPr>
            <w:tcW w:w="3022" w:type="dxa"/>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w:t>
            </w:r>
            <w:r>
              <w:rPr>
                <w:rFonts w:hint="eastAsia" w:ascii="宋体" w:hAnsi="宋体" w:eastAsia="宋体" w:cs="宋体"/>
                <w:sz w:val="18"/>
                <w:szCs w:val="16"/>
                <w:lang w:eastAsia="zh-CN"/>
              </w:rPr>
              <w:t>≥</w:t>
            </w:r>
            <w:r>
              <w:rPr>
                <w:rFonts w:hint="eastAsia" w:hAnsi="宋体" w:cs="宋体"/>
                <w:sz w:val="18"/>
                <w:szCs w:val="16"/>
                <w:lang w:val="en-US" w:eastAsia="zh-CN"/>
              </w:rPr>
              <w:t>40%</w:t>
            </w:r>
            <w:r>
              <w:rPr>
                <w:rFonts w:hint="eastAsia" w:ascii="宋体" w:hAnsi="宋体" w:eastAsia="宋体" w:cs="宋体"/>
                <w:sz w:val="18"/>
                <w:szCs w:val="18"/>
                <w:highlight w:val="none"/>
                <w:lang w:val="en-US" w:eastAsia="zh-CN"/>
              </w:rPr>
              <w:t>（5分）；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w:t>
            </w:r>
            <w:r>
              <w:rPr>
                <w:rFonts w:hint="eastAsia" w:ascii="宋体" w:hAnsi="宋体" w:eastAsia="宋体" w:cs="宋体"/>
                <w:sz w:val="18"/>
                <w:szCs w:val="16"/>
              </w:rPr>
              <w:t>[</w:t>
            </w:r>
            <w:r>
              <w:rPr>
                <w:rFonts w:hint="eastAsia" w:ascii="宋体" w:hAnsi="宋体" w:cs="宋体"/>
                <w:sz w:val="18"/>
                <w:szCs w:val="16"/>
                <w:lang w:val="en-US" w:eastAsia="zh-CN"/>
              </w:rPr>
              <w:t>3</w:t>
            </w:r>
            <w:r>
              <w:rPr>
                <w:rFonts w:hint="eastAsia" w:hAnsi="宋体" w:cs="宋体"/>
                <w:sz w:val="18"/>
                <w:szCs w:val="16"/>
                <w:lang w:val="en-US" w:eastAsia="zh-CN"/>
              </w:rPr>
              <w:t>5</w:t>
            </w:r>
            <w:r>
              <w:rPr>
                <w:rFonts w:hint="eastAsia" w:ascii="宋体" w:hAnsi="宋体" w:cs="宋体"/>
                <w:sz w:val="18"/>
                <w:szCs w:val="16"/>
                <w:lang w:val="en-US" w:eastAsia="zh-CN"/>
              </w:rPr>
              <w:t>%</w:t>
            </w:r>
            <w:r>
              <w:rPr>
                <w:rFonts w:hint="eastAsia" w:ascii="宋体" w:hAnsi="宋体" w:eastAsia="宋体" w:cs="宋体"/>
                <w:sz w:val="18"/>
                <w:szCs w:val="16"/>
              </w:rPr>
              <w:t>,</w:t>
            </w:r>
            <w:r>
              <w:rPr>
                <w:rFonts w:hint="eastAsia" w:hAnsi="宋体" w:cs="宋体"/>
                <w:sz w:val="18"/>
                <w:szCs w:val="16"/>
                <w:lang w:val="en-US" w:eastAsia="zh-CN"/>
              </w:rPr>
              <w:t>40%</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w:t>
            </w:r>
            <w:r>
              <w:rPr>
                <w:rFonts w:hint="eastAsia" w:ascii="宋体" w:hAnsi="宋体" w:eastAsia="宋体" w:cs="宋体"/>
                <w:sz w:val="18"/>
                <w:szCs w:val="16"/>
              </w:rPr>
              <w:t>[</w:t>
            </w:r>
            <w:r>
              <w:rPr>
                <w:rFonts w:hint="eastAsia" w:ascii="宋体" w:hAnsi="宋体" w:cs="宋体"/>
                <w:sz w:val="18"/>
                <w:szCs w:val="16"/>
                <w:lang w:val="en-US" w:eastAsia="zh-CN"/>
              </w:rPr>
              <w:t>30%</w:t>
            </w:r>
            <w:r>
              <w:rPr>
                <w:rFonts w:hint="eastAsia" w:ascii="宋体" w:hAnsi="宋体" w:eastAsia="宋体" w:cs="宋体"/>
                <w:sz w:val="18"/>
                <w:szCs w:val="16"/>
              </w:rPr>
              <w:t>,</w:t>
            </w:r>
            <w:r>
              <w:rPr>
                <w:rFonts w:hint="eastAsia" w:ascii="宋体" w:hAnsi="宋体" w:cs="宋体"/>
                <w:sz w:val="18"/>
                <w:szCs w:val="16"/>
                <w:lang w:val="en-US" w:eastAsia="zh-CN"/>
              </w:rPr>
              <w:t>3</w:t>
            </w:r>
            <w:r>
              <w:rPr>
                <w:rFonts w:hint="eastAsia" w:hAnsi="宋体" w:cs="宋体"/>
                <w:sz w:val="18"/>
                <w:szCs w:val="16"/>
                <w:lang w:val="en-US" w:eastAsia="zh-CN"/>
              </w:rPr>
              <w:t>5</w:t>
            </w:r>
            <w:r>
              <w:rPr>
                <w:rFonts w:hint="eastAsia" w:ascii="宋体" w:hAnsi="宋体" w:cs="宋体"/>
                <w:sz w:val="18"/>
                <w:szCs w:val="16"/>
                <w:lang w:val="en-US" w:eastAsia="zh-CN"/>
              </w:rPr>
              <w:t>%</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（2分）；</w:t>
            </w:r>
          </w:p>
          <w:p>
            <w:pPr>
              <w:autoSpaceDE w:val="0"/>
              <w:autoSpaceDN w:val="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d.</w:t>
            </w:r>
            <w:r>
              <w:rPr>
                <w:rFonts w:hint="eastAsia" w:ascii="宋体" w:hAnsi="宋体" w:eastAsia="宋体" w:cs="宋体"/>
                <w:sz w:val="18"/>
                <w:szCs w:val="16"/>
              </w:rPr>
              <w:t>[</w:t>
            </w:r>
            <w:r>
              <w:rPr>
                <w:rFonts w:hint="eastAsia" w:ascii="宋体" w:hAnsi="宋体" w:cs="宋体"/>
                <w:sz w:val="18"/>
                <w:szCs w:val="16"/>
                <w:lang w:val="en-US" w:eastAsia="zh-CN"/>
              </w:rPr>
              <w:t>25%</w:t>
            </w:r>
            <w:r>
              <w:rPr>
                <w:rFonts w:hint="eastAsia" w:ascii="宋体" w:hAnsi="宋体" w:eastAsia="宋体" w:cs="宋体"/>
                <w:sz w:val="18"/>
                <w:szCs w:val="16"/>
              </w:rPr>
              <w:t>,</w:t>
            </w:r>
            <w:r>
              <w:rPr>
                <w:rFonts w:hint="eastAsia" w:ascii="宋体" w:hAnsi="宋体" w:cs="宋体"/>
                <w:sz w:val="18"/>
                <w:szCs w:val="16"/>
                <w:lang w:val="en-US" w:eastAsia="zh-CN"/>
              </w:rPr>
              <w:t>30%</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（1分）。</w:t>
            </w:r>
          </w:p>
        </w:tc>
        <w:tc>
          <w:tcPr>
            <w:tcW w:w="1178" w:type="dxa"/>
            <w:tcBorders>
              <w:tl2br w:val="nil"/>
              <w:tr2bl w:val="nil"/>
            </w:tcBorders>
            <w:vAlign w:val="center"/>
          </w:tcPr>
          <w:p>
            <w:pPr>
              <w:autoSpaceDE w:val="0"/>
              <w:autoSpaceDN w:val="0"/>
              <w:jc w:val="center"/>
              <w:rPr>
                <w:rFonts w:hint="default" w:ascii="宋体"/>
                <w:sz w:val="18"/>
                <w:szCs w:val="18"/>
                <w:lang w:val="en-US" w:eastAsia="zh-CN"/>
              </w:rPr>
            </w:pPr>
            <w:r>
              <w:rPr>
                <w:rFonts w:hint="eastAsia" w:ascii="宋体"/>
                <w:sz w:val="18"/>
                <w:szCs w:val="18"/>
                <w:lang w:val="en-US" w:eastAsia="zh-CN"/>
              </w:rPr>
              <w:t>5</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ascii="宋体"/>
                <w:sz w:val="18"/>
                <w:szCs w:val="18"/>
                <w:lang w:val="en-US" w:eastAsia="zh-CN"/>
              </w:rPr>
              <w:t>申请认定评价的绿色业务领域，产品或服务的核心技术先进水平。</w:t>
            </w:r>
          </w:p>
        </w:tc>
        <w:tc>
          <w:tcPr>
            <w:tcW w:w="3022" w:type="dxa"/>
            <w:tcBorders>
              <w:tl2br w:val="nil"/>
              <w:tr2bl w:val="nil"/>
            </w:tcBorders>
            <w:vAlign w:val="center"/>
          </w:tcPr>
          <w:p>
            <w:pPr>
              <w:autoSpaceDE w:val="0"/>
              <w:autoSpaceDN w:val="0"/>
              <w:jc w:val="left"/>
              <w:rPr>
                <w:rFonts w:hint="eastAsia" w:ascii="宋体"/>
                <w:sz w:val="18"/>
                <w:szCs w:val="18"/>
                <w:lang w:val="en-US" w:eastAsia="zh-CN"/>
              </w:rPr>
            </w:pPr>
            <w:r>
              <w:rPr>
                <w:rFonts w:hint="eastAsia" w:ascii="宋体"/>
                <w:sz w:val="18"/>
                <w:szCs w:val="18"/>
                <w:lang w:val="en-US" w:eastAsia="zh-CN"/>
              </w:rPr>
              <w:t>a.在全面符合绿色低碳产业认定工作相关要求的基础上，处于行业领先水平，对产业（行业）具有显著技术引领作用。(7分,10分]；</w:t>
            </w:r>
          </w:p>
          <w:p>
            <w:pPr>
              <w:autoSpaceDE w:val="0"/>
              <w:autoSpaceDN w:val="0"/>
              <w:jc w:val="left"/>
              <w:rPr>
                <w:rFonts w:hint="eastAsia" w:ascii="宋体"/>
                <w:sz w:val="18"/>
                <w:szCs w:val="18"/>
                <w:lang w:val="en-US" w:eastAsia="zh-CN"/>
              </w:rPr>
            </w:pPr>
            <w:r>
              <w:rPr>
                <w:rFonts w:hint="eastAsia" w:ascii="宋体"/>
                <w:sz w:val="18"/>
                <w:szCs w:val="18"/>
                <w:lang w:val="en-US" w:eastAsia="zh-CN"/>
              </w:rPr>
              <w:t>b.在全面符合绿色低碳产业认定工作相关要求的基础上，处于行业较好水平，对产业（行业）具有一定技术推动作用。(4分,7分]；</w:t>
            </w:r>
          </w:p>
          <w:p>
            <w:pPr>
              <w:autoSpaceDE w:val="0"/>
              <w:autoSpaceDN w:val="0"/>
              <w:jc w:val="left"/>
              <w:rPr>
                <w:rFonts w:hint="eastAsia" w:ascii="宋体"/>
                <w:sz w:val="18"/>
                <w:szCs w:val="18"/>
                <w:lang w:val="en-US" w:eastAsia="zh-CN"/>
              </w:rPr>
            </w:pPr>
            <w:r>
              <w:rPr>
                <w:rFonts w:hint="eastAsia" w:ascii="宋体"/>
                <w:sz w:val="18"/>
                <w:szCs w:val="18"/>
                <w:lang w:val="en-US" w:eastAsia="zh-CN"/>
              </w:rPr>
              <w:t>c.在全面符合绿色低碳产业认定工作相关要求的基础上，处于行业平均水平。(0分,4分]；</w:t>
            </w:r>
          </w:p>
          <w:p>
            <w:pPr>
              <w:autoSpaceDE w:val="0"/>
              <w:autoSpaceDN w:val="0"/>
              <w:jc w:val="left"/>
              <w:rPr>
                <w:rFonts w:ascii="宋体"/>
                <w:sz w:val="18"/>
                <w:szCs w:val="18"/>
              </w:rPr>
            </w:pPr>
            <w:r>
              <w:rPr>
                <w:rFonts w:hint="eastAsia" w:ascii="宋体"/>
                <w:sz w:val="18"/>
                <w:szCs w:val="18"/>
                <w:lang w:val="en-US" w:eastAsia="zh-CN"/>
              </w:rPr>
              <w:t>d.未满足上述任何一项。（0分）。</w:t>
            </w:r>
          </w:p>
        </w:tc>
        <w:tc>
          <w:tcPr>
            <w:tcW w:w="1178" w:type="dxa"/>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10</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1054" w:type="dxa"/>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降碳效益</w:t>
            </w:r>
          </w:p>
        </w:tc>
        <w:tc>
          <w:tcPr>
            <w:tcW w:w="1978" w:type="dxa"/>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评估碳减排量、节能量。</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a.涉及环境效益种类较多，产生实际环境效益贡献量较高。(7分,10分]；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c.涉及环境效益种类较少，产生实际环境效益贡献量较少。(0分,4分]；</w:t>
            </w:r>
          </w:p>
          <w:p>
            <w:pPr>
              <w:pStyle w:val="24"/>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1178" w:type="dxa"/>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10</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减污效益</w:t>
            </w:r>
          </w:p>
        </w:tc>
        <w:tc>
          <w:tcPr>
            <w:tcW w:w="1978" w:type="dxa"/>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评估二氧化硫、氮氧化物。</w:t>
            </w:r>
          </w:p>
        </w:tc>
        <w:tc>
          <w:tcPr>
            <w:tcW w:w="3022" w:type="dxa"/>
            <w:tcBorders>
              <w:tl2br w:val="nil"/>
              <w:tr2bl w:val="nil"/>
            </w:tcBorders>
            <w:vAlign w:val="center"/>
          </w:tcPr>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a.涉及环境效益种类较多，产生实际环境效益贡献量较高。(2分,3分]；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b.涉及环境效益种类一般，产生实际环境效益贡献量一般。(1分,2分]；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c.涉及环境效益种类较少，产生实际环境效益贡献量较少。(0分,1分]；</w:t>
            </w:r>
          </w:p>
          <w:p>
            <w:pPr>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61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978" w:type="dxa"/>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从专业覆盖面、学历职称、相关工作年限等方面进行综合评价。</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a.人员配置合理，涵盖所需专业，研发部门中30%以上科研人员从事相关工作达3年或以上年限，至少配备一名高级职称或博士技术人员。(4分,6分]；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b.人员配置基本合理，涵盖所需专业，研发部门中20%以上科研人员从事相关工作达3年或以上年限，至少配备一名高级职称或博士技术人员。(2分,4分]；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c.人员配置未完全覆盖所需专业，团队实力一般。(0分,2分]。</w:t>
            </w:r>
          </w:p>
          <w:p>
            <w:pPr>
              <w:pStyle w:val="59"/>
              <w:bidi w:val="0"/>
              <w:ind w:left="6" w:leftChars="0" w:hanging="6" w:firstLineChars="0"/>
              <w:rPr>
                <w:rFonts w:ascii="宋体"/>
                <w:szCs w:val="18"/>
              </w:rPr>
            </w:pPr>
            <w:r>
              <w:rPr>
                <w:rFonts w:hint="eastAsia"/>
                <w:lang w:val="en-US" w:eastAsia="zh-CN"/>
              </w:rPr>
              <w:t>每增加一名从事相关技术领域的高级职称或博士技术人员，加0.5分。 每增加5%从事相关工作达3年或以上年限的团队人员，加0.5分。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6</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从绿色业务领域研发投入占比，以及所处同行业研发投入水平进行综合评价。</w:t>
            </w:r>
          </w:p>
        </w:tc>
        <w:tc>
          <w:tcPr>
            <w:tcW w:w="3022" w:type="dxa"/>
            <w:tcBorders>
              <w:tl2br w:val="nil"/>
              <w:tr2bl w:val="nil"/>
            </w:tcBorders>
            <w:vAlign w:val="center"/>
          </w:tcPr>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a.最近一年销售收入小于5000万元（含）的企事业单位，比例不低于5%。</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(4分,8分]；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b.最近一年销售收入在5000万元至2亿元（含）的企事业单位，比例不低于4%。(4分,8分]；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c.最近一年销售收入在2亿元以上的企事业单位，比例不低于3%。(4分,8分]；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d.上述项均不满足。(0分,3分]。</w:t>
            </w:r>
          </w:p>
          <w:p>
            <w:pPr>
              <w:pStyle w:val="59"/>
              <w:tabs>
                <w:tab w:val="center" w:pos="4201"/>
                <w:tab w:val="right" w:leader="dot" w:pos="9298"/>
              </w:tabs>
              <w:autoSpaceDE w:val="0"/>
              <w:autoSpaceDN w:val="0"/>
              <w:ind w:left="6" w:hanging="6"/>
              <w:jc w:val="left"/>
              <w:rPr>
                <w:rFonts w:ascii="宋体"/>
                <w:sz w:val="18"/>
                <w:szCs w:val="18"/>
              </w:rPr>
            </w:pPr>
            <w:r>
              <w:rPr>
                <w:rFonts w:hint="eastAsia"/>
                <w:lang w:val="en-US" w:eastAsia="zh-CN"/>
              </w:rPr>
              <w:t>研发投入占比显著高于同行业平均水平，加3分；</w:t>
            </w:r>
            <w:r>
              <w:rPr>
                <w:rFonts w:hint="eastAsia" w:ascii="宋体" w:hAnsi="Times New Roman" w:eastAsia="宋体" w:cs="Times New Roman"/>
                <w:lang w:val="en-US" w:eastAsia="zh-CN"/>
              </w:rPr>
              <w:t>研发投入占比略高于同行业平均水平，加1分。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8</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业务增长率</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当年主营业务收入增长额与上年主营业务收入总额比值，采用近三年平均值进行评估。</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a.≥10%（4分）；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b.[5%,10%)（2分）；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c.[0,5%)（1分）；</w:t>
            </w:r>
          </w:p>
          <w:p>
            <w:pPr>
              <w:autoSpaceDE w:val="0"/>
              <w:autoSpaceDN w:val="0"/>
              <w:jc w:val="left"/>
              <w:rPr>
                <w:rFonts w:ascii="宋体"/>
                <w:sz w:val="18"/>
                <w:szCs w:val="18"/>
              </w:rPr>
            </w:pPr>
            <w:r>
              <w:rPr>
                <w:rFonts w:hint="eastAsia" w:hAnsi="宋体" w:cs="宋体"/>
                <w:sz w:val="18"/>
                <w:szCs w:val="18"/>
                <w:highlight w:val="none"/>
                <w:lang w:val="en-US" w:eastAsia="zh-CN"/>
              </w:rPr>
              <w:t>d.＜0（0分）。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978" w:type="dxa"/>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从提供的绿色业务领域相关产品或服务的市场占有率，以及稳定提供相关产品或服务的年限进行综合评价。</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a.行业内市场占有率处于较高水平。（4分，6分]；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b.行业内市场占有率处于中等水平。（2分，4分]；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c.行业内市场占有率处于一般水平。[0分，2分]。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Times New Roman" w:eastAsia="宋体" w:cs="Times New Roman"/>
                <w:lang w:val="en-US" w:eastAsia="zh-CN"/>
              </w:rPr>
              <w:t>稳定</w:t>
            </w:r>
            <w:r>
              <w:rPr>
                <w:rFonts w:hint="eastAsia"/>
                <w:lang w:val="en-US" w:eastAsia="zh-CN"/>
              </w:rPr>
              <w:t>提供产品或服务年限大于10年</w:t>
            </w:r>
            <w:r>
              <w:rPr>
                <w:rFonts w:hint="eastAsia" w:ascii="宋体" w:eastAsia="宋体"/>
                <w:lang w:val="en-US" w:eastAsia="zh-CN"/>
              </w:rPr>
              <w:t>，加3分；</w:t>
            </w:r>
            <w:r>
              <w:rPr>
                <w:rFonts w:hint="eastAsia"/>
                <w:lang w:val="en-US" w:eastAsia="zh-CN"/>
              </w:rPr>
              <w:t>大于5年不超过10年</w:t>
            </w:r>
            <w:r>
              <w:rPr>
                <w:rFonts w:hint="eastAsia" w:ascii="宋体" w:eastAsia="宋体"/>
                <w:lang w:val="en-US" w:eastAsia="zh-CN"/>
              </w:rPr>
              <w:t>，加</w:t>
            </w:r>
            <w:r>
              <w:rPr>
                <w:rFonts w:hint="eastAsia"/>
                <w:lang w:val="en-US" w:eastAsia="zh-CN"/>
              </w:rPr>
              <w:t>2</w:t>
            </w:r>
            <w:r>
              <w:rPr>
                <w:rFonts w:hint="eastAsia" w:ascii="宋体" w:eastAsia="宋体"/>
                <w:lang w:val="en-US" w:eastAsia="zh-CN"/>
              </w:rPr>
              <w:t>分</w:t>
            </w:r>
            <w:r>
              <w:rPr>
                <w:rFonts w:hint="eastAsia"/>
                <w:lang w:val="en-US" w:eastAsia="zh-CN"/>
              </w:rPr>
              <w:t>；大于2年不超过5年，加1分</w:t>
            </w:r>
            <w:r>
              <w:rPr>
                <w:rFonts w:hint="eastAsia" w:ascii="宋体" w:eastAsia="宋体"/>
                <w:lang w:val="en-US" w:eastAsia="zh-CN"/>
              </w:rPr>
              <w:t>。</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9</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引领绿色低碳产业技术创新或市场发展的影响能力。</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a.具有显著的引领绿色低碳产业技术或市场发展的影响能力。（4分，7分]；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b.具有较强的引领绿色低碳产业技术或市场发展的影响能力。（2分，4分]；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c.具有一定的引领绿色低碳产业技术或市场发展的影响能力。（0分，2分]。</w:t>
            </w:r>
          </w:p>
          <w:p>
            <w:pPr>
              <w:autoSpaceDE w:val="0"/>
              <w:autoSpaceDN w:val="0"/>
              <w:jc w:val="left"/>
              <w:rPr>
                <w:rFonts w:ascii="宋体"/>
                <w:sz w:val="18"/>
                <w:szCs w:val="18"/>
              </w:rPr>
            </w:pPr>
            <w:r>
              <w:rPr>
                <w:rFonts w:hint="eastAsia" w:hAnsi="宋体" w:cs="宋体"/>
                <w:sz w:val="18"/>
                <w:szCs w:val="18"/>
                <w:highlight w:val="none"/>
                <w:lang w:val="en-US" w:eastAsia="zh-CN"/>
              </w:rPr>
              <w:t>d.未产生明显产业影响力。（0分）。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7</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pPr>
              <w:autoSpaceDE w:val="0"/>
              <w:autoSpaceDN w:val="0"/>
              <w:jc w:val="center"/>
              <w:rPr>
                <w:rFonts w:ascii="宋体" w:hAnsi="宋体" w:cs="宋体"/>
                <w:sz w:val="18"/>
                <w:szCs w:val="18"/>
              </w:rPr>
            </w:pPr>
          </w:p>
        </w:tc>
        <w:tc>
          <w:tcPr>
            <w:tcW w:w="1054" w:type="dxa"/>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从提供的绿色业务领域相关产品或服务，近五年内获得的国家级、省部级、市级或区级奖项、资质、荣誉、认定或证书的情况进行评价，国家级行业协会颁发的相关资质、荣誉、认定或证书视为省部级。</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a.获得1项国家级奖项、资质、荣誉、认定或证书。(3分)；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b.获得1项省部级奖项、资质、荣誉、认定或证书。(2分)；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c.获得1项市级奖项、资质、荣誉、认定或证书。(1分)；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d.未获得行业资质荣誉奖项。（0分）。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优质</w:t>
            </w:r>
            <w:r>
              <w:rPr>
                <w:rFonts w:hint="eastAsia" w:hAnsi="宋体" w:cs="宋体"/>
                <w:sz w:val="18"/>
                <w:szCs w:val="18"/>
                <w:highlight w:val="none"/>
                <w:lang w:val="en-US" w:eastAsia="zh-CN"/>
              </w:rPr>
              <w:t>中小企业相应基础分值加1分。每多一项国家级、省部级、市级、区级资质荣誉，分别加1分、0.5分、0.3分、0.2分。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1670" w:type="dxa"/>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设备材料</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从企事业单位自身生产运营过程中，采用设备及原材料的绿色化水平进行评价。</w:t>
            </w:r>
          </w:p>
        </w:tc>
        <w:tc>
          <w:tcPr>
            <w:tcW w:w="3022" w:type="dxa"/>
            <w:tcBorders>
              <w:tl2br w:val="nil"/>
              <w:tr2bl w:val="nil"/>
            </w:tcBorders>
            <w:vAlign w:val="center"/>
          </w:tcPr>
          <w:p>
            <w:pPr>
              <w:pStyle w:val="24"/>
              <w:ind w:firstLine="0" w:firstLineChars="0"/>
              <w:jc w:val="left"/>
              <w:rPr>
                <w:rFonts w:hint="default" w:hAnsi="宋体" w:cs="宋体"/>
                <w:sz w:val="18"/>
                <w:szCs w:val="18"/>
                <w:highlight w:val="none"/>
                <w:lang w:val="en-US" w:eastAsia="zh-CN"/>
              </w:rPr>
            </w:pPr>
            <w:r>
              <w:rPr>
                <w:rFonts w:hint="eastAsia" w:hAnsi="宋体" w:cs="宋体"/>
                <w:sz w:val="18"/>
                <w:szCs w:val="18"/>
                <w:highlight w:val="none"/>
                <w:lang w:val="en-US" w:eastAsia="zh-CN"/>
              </w:rPr>
              <w:t>a.推荐目录采购比例超过50%。（1分），全面实施无毒无害原材料替代。（1分）；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b.1推荐目录采购比例超过30%。（0.5分），部分实施无毒无害原材料替代。（0.5分）；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c.未选用推荐工艺（0分），推荐目录采购比例未超过30%。（0分），未实施无毒无害原材料替代。（0分）；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该项</w:t>
            </w:r>
            <w:r>
              <w:rPr>
                <w:rFonts w:hint="eastAsia" w:hAnsi="宋体" w:cs="宋体"/>
                <w:sz w:val="18"/>
                <w:szCs w:val="18"/>
                <w:highlight w:val="none"/>
                <w:lang w:val="en-US" w:eastAsia="zh-CN"/>
              </w:rPr>
              <w:t>为工艺、设备、材料累计得分。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2</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834" w:type="dxa"/>
            <w:gridSpan w:val="2"/>
            <w:vMerge w:val="restart"/>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能源资源利用</w:t>
            </w:r>
          </w:p>
        </w:tc>
        <w:tc>
          <w:tcPr>
            <w:tcW w:w="836" w:type="dxa"/>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能耗</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ascii="Times New Roman" w:hAnsi="宋体" w:eastAsia="宋体" w:cs="宋体"/>
                <w:sz w:val="18"/>
                <w:szCs w:val="18"/>
                <w:highlight w:val="none"/>
                <w:lang w:val="en-US" w:eastAsia="zh-CN" w:bidi="ar-SA"/>
              </w:rPr>
              <w:t>企事业单位自身生产运营过程，对能源消耗量大小进行评价的指标</w:t>
            </w:r>
            <w:r>
              <w:rPr>
                <w:rFonts w:hint="eastAsia" w:ascii="Times New Roman" w:hAnsi="宋体" w:cs="宋体"/>
                <w:sz w:val="18"/>
                <w:szCs w:val="18"/>
                <w:highlight w:val="none"/>
                <w:lang w:val="en-US" w:eastAsia="zh-CN" w:bidi="ar-SA"/>
              </w:rPr>
              <w:t>。</w:t>
            </w:r>
          </w:p>
        </w:tc>
        <w:tc>
          <w:tcPr>
            <w:tcW w:w="3022" w:type="dxa"/>
            <w:tcBorders>
              <w:tl2br w:val="nil"/>
              <w:tr2bl w:val="nil"/>
            </w:tcBorders>
            <w:vAlign w:val="center"/>
          </w:tcPr>
          <w:p>
            <w:pPr>
              <w:autoSpaceDE w:val="0"/>
              <w:autoSpaceDN w:val="0"/>
              <w:jc w:val="left"/>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生产制造类：</w:t>
            </w:r>
          </w:p>
          <w:p>
            <w:pPr>
              <w:numPr>
                <w:ilvl w:val="0"/>
                <w:numId w:val="19"/>
              </w:numPr>
              <w:autoSpaceDE w:val="0"/>
              <w:autoSpaceDN w:val="0"/>
              <w:jc w:val="left"/>
              <w:rPr>
                <w:rFonts w:hint="eastAsia" w:ascii="宋体" w:hAnsi="宋体" w:cs="宋体"/>
                <w:sz w:val="18"/>
                <w:szCs w:val="18"/>
                <w:highlight w:val="none"/>
                <w:vertAlign w:val="baseline"/>
                <w:lang w:val="en-US" w:eastAsia="zh-CN"/>
              </w:rPr>
            </w:pPr>
            <w:r>
              <w:rPr>
                <w:rFonts w:hint="eastAsia" w:ascii="宋体" w:hAnsi="宋体" w:cs="宋体"/>
                <w:sz w:val="18"/>
                <w:szCs w:val="18"/>
                <w:highlight w:val="none"/>
                <w:vertAlign w:val="baseline"/>
                <w:lang w:val="en-US" w:eastAsia="zh-CN"/>
              </w:rPr>
              <w:t>直流充电机损耗，W</w:t>
            </w:r>
          </w:p>
          <w:p>
            <w:pPr>
              <w:numPr>
                <w:ilvl w:val="-1"/>
                <w:numId w:val="0"/>
              </w:numPr>
              <w:autoSpaceDE w:val="0"/>
              <w:autoSpaceDN w:val="0"/>
              <w:jc w:val="left"/>
              <w:rPr>
                <w:rFonts w:hint="eastAsia"/>
                <w:sz w:val="18"/>
                <w:szCs w:val="18"/>
                <w:highlight w:val="none"/>
                <w:vertAlign w:val="baseline"/>
                <w:lang w:val="en-US" w:eastAsia="zh-CN"/>
              </w:rPr>
            </w:pPr>
            <w:r>
              <w:rPr>
                <w:rFonts w:hint="eastAsia"/>
                <w:sz w:val="18"/>
                <w:szCs w:val="18"/>
                <w:highlight w:val="none"/>
                <w:vertAlign w:val="baseline"/>
                <w:lang w:val="en-US" w:eastAsia="zh-CN"/>
              </w:rPr>
              <w:t>a.（0,n×40</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（7分</w:t>
            </w:r>
            <w:r>
              <w:rPr>
                <w:rFonts w:hint="eastAsia" w:ascii="宋体" w:hAnsi="宋体" w:cs="宋体"/>
                <w:sz w:val="18"/>
                <w:szCs w:val="18"/>
                <w:highlight w:val="none"/>
                <w:lang w:val="en-US" w:eastAsia="zh-CN" w:bidi="ar-SA"/>
              </w:rPr>
              <w:t>）</w:t>
            </w:r>
          </w:p>
          <w:p>
            <w:pPr>
              <w:numPr>
                <w:ilvl w:val="-1"/>
                <w:numId w:val="0"/>
              </w:numPr>
              <w:autoSpaceDE w:val="0"/>
              <w:autoSpaceDN w:val="0"/>
              <w:jc w:val="left"/>
              <w:rPr>
                <w:rFonts w:hint="eastAsia" w:ascii="Times New Roman" w:eastAsia="宋体"/>
                <w:sz w:val="18"/>
                <w:szCs w:val="18"/>
                <w:highlight w:val="none"/>
                <w:vertAlign w:val="baseline"/>
                <w:lang w:val="en-US" w:eastAsia="zh-CN"/>
              </w:rPr>
            </w:pPr>
            <w:r>
              <w:rPr>
                <w:rFonts w:hint="eastAsia"/>
                <w:sz w:val="18"/>
                <w:szCs w:val="18"/>
                <w:highlight w:val="none"/>
                <w:vertAlign w:val="baseline"/>
                <w:lang w:val="en-US" w:eastAsia="zh-CN"/>
              </w:rPr>
              <w:t>b.</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n×40,n×45</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numPr>
                <w:ilvl w:val="-1"/>
                <w:numId w:val="0"/>
              </w:numPr>
              <w:autoSpaceDE w:val="0"/>
              <w:autoSpaceDN w:val="0"/>
              <w:jc w:val="left"/>
              <w:rPr>
                <w:rFonts w:hint="eastAsia" w:ascii="Times New Roman" w:eastAsia="宋体"/>
                <w:sz w:val="18"/>
                <w:szCs w:val="18"/>
                <w:highlight w:val="none"/>
                <w:vertAlign w:val="baseline"/>
                <w:lang w:val="en-US" w:eastAsia="zh-CN"/>
              </w:rPr>
            </w:pPr>
            <w:r>
              <w:rPr>
                <w:rFonts w:hint="eastAsia"/>
                <w:sz w:val="18"/>
                <w:szCs w:val="18"/>
                <w:highlight w:val="none"/>
                <w:vertAlign w:val="baseline"/>
                <w:lang w:val="en-US" w:eastAsia="zh-CN"/>
              </w:rPr>
              <w:t>c.</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n×45,n×50</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p>
            <w:pPr>
              <w:numPr>
                <w:ilvl w:val="-1"/>
                <w:numId w:val="0"/>
              </w:numPr>
              <w:autoSpaceDE w:val="0"/>
              <w:autoSpaceDN w:val="0"/>
              <w:jc w:val="left"/>
              <w:rPr>
                <w:rFonts w:hint="eastAsia" w:ascii="宋体" w:hAnsi="宋体" w:eastAsia="宋体" w:cs="宋体"/>
                <w:sz w:val="18"/>
                <w:szCs w:val="18"/>
                <w:lang w:val="en-US" w:eastAsia="zh-CN"/>
              </w:rPr>
            </w:pPr>
            <w:r>
              <w:rPr>
                <w:rFonts w:hint="eastAsia" w:ascii="宋体" w:hAnsi="宋体" w:cs="宋体"/>
                <w:sz w:val="18"/>
                <w:szCs w:val="18"/>
                <w:highlight w:val="none"/>
                <w:vertAlign w:val="baseline"/>
                <w:lang w:val="en-US" w:eastAsia="zh-CN"/>
              </w:rPr>
              <w:t>d.≥n</w:t>
            </w:r>
            <w:r>
              <w:rPr>
                <w:rFonts w:hint="eastAsia"/>
                <w:sz w:val="18"/>
                <w:szCs w:val="18"/>
                <w:highlight w:val="none"/>
                <w:vertAlign w:val="baseline"/>
                <w:lang w:val="en-US" w:eastAsia="zh-CN"/>
              </w:rPr>
              <w:t>×</w:t>
            </w:r>
            <w:r>
              <w:rPr>
                <w:rFonts w:hint="eastAsia" w:ascii="宋体" w:hAnsi="宋体" w:cs="宋体"/>
                <w:sz w:val="18"/>
                <w:szCs w:val="18"/>
                <w:highlight w:val="none"/>
                <w:vertAlign w:val="baseline"/>
                <w:lang w:val="en-US" w:eastAsia="zh-CN"/>
              </w:rPr>
              <w:t>50。</w:t>
            </w:r>
            <w:r>
              <w:rPr>
                <w:rFonts w:hint="eastAsia" w:ascii="宋体" w:hAnsi="宋体" w:eastAsia="宋体" w:cs="宋体"/>
                <w:sz w:val="18"/>
                <w:szCs w:val="18"/>
                <w:highlight w:val="none"/>
                <w:lang w:val="en-US" w:eastAsia="zh-CN" w:bidi="ar-SA"/>
              </w:rPr>
              <w:t>（</w:t>
            </w:r>
            <w:r>
              <w:rPr>
                <w:rFonts w:hint="eastAsia" w:ascii="宋体" w:hAnsi="宋体"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p>
          <w:p>
            <w:pPr>
              <w:pStyle w:val="2"/>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vertAlign w:val="baseline"/>
                <w:lang w:val="en-US" w:eastAsia="zh-CN"/>
              </w:rPr>
              <w:t>（2）交流充电桩损耗，W</w:t>
            </w:r>
          </w:p>
          <w:p>
            <w:pPr>
              <w:pStyle w:val="2"/>
              <w:numPr>
                <w:ilvl w:val="-1"/>
                <w:numId w:val="0"/>
              </w:numPr>
              <w:rPr>
                <w:rFonts w:hint="eastAsia" w:ascii="Times New Roman" w:eastAsia="宋体"/>
                <w:sz w:val="18"/>
                <w:szCs w:val="18"/>
                <w:highlight w:val="none"/>
                <w:vertAlign w:val="baseline"/>
                <w:lang w:val="en-US" w:eastAsia="zh-CN"/>
              </w:rPr>
            </w:pPr>
            <w:r>
              <w:rPr>
                <w:rFonts w:hint="eastAsia"/>
                <w:sz w:val="18"/>
                <w:szCs w:val="18"/>
                <w:highlight w:val="none"/>
                <w:vertAlign w:val="baseline"/>
                <w:lang w:val="en-US" w:eastAsia="zh-CN"/>
              </w:rPr>
              <w:t>a.（0,10</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（7分</w:t>
            </w:r>
            <w:r>
              <w:rPr>
                <w:rFonts w:hint="eastAsia" w:ascii="宋体" w:hAnsi="宋体" w:cs="宋体"/>
                <w:sz w:val="18"/>
                <w:szCs w:val="18"/>
                <w:highlight w:val="none"/>
                <w:lang w:val="en-US" w:eastAsia="zh-CN" w:bidi="ar-SA"/>
              </w:rPr>
              <w:t>）</w:t>
            </w:r>
          </w:p>
          <w:p>
            <w:pPr>
              <w:pStyle w:val="2"/>
              <w:numPr>
                <w:ilvl w:val="-1"/>
                <w:numId w:val="0"/>
              </w:numPr>
              <w:rPr>
                <w:rFonts w:hint="eastAsia" w:ascii="Times New Roman" w:eastAsia="宋体"/>
                <w:sz w:val="18"/>
                <w:szCs w:val="18"/>
                <w:highlight w:val="none"/>
                <w:vertAlign w:val="baseline"/>
                <w:lang w:val="en-US" w:eastAsia="zh-CN"/>
              </w:rPr>
            </w:pPr>
            <w:r>
              <w:rPr>
                <w:rFonts w:hint="eastAsia" w:ascii="Times New Roman"/>
                <w:sz w:val="18"/>
                <w:szCs w:val="18"/>
                <w:highlight w:val="none"/>
                <w:vertAlign w:val="baseline"/>
                <w:lang w:val="en-US" w:eastAsia="zh-CN"/>
              </w:rPr>
              <w:t>b.</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10,12</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pStyle w:val="2"/>
              <w:numPr>
                <w:ilvl w:val="-1"/>
                <w:numId w:val="0"/>
              </w:numPr>
              <w:rPr>
                <w:rFonts w:hint="eastAsia" w:ascii="Times New Roman"/>
                <w:sz w:val="18"/>
                <w:szCs w:val="18"/>
                <w:highlight w:val="none"/>
                <w:vertAlign w:val="baseline"/>
                <w:lang w:val="en-US" w:eastAsia="zh-CN"/>
              </w:rPr>
            </w:pPr>
            <w:r>
              <w:rPr>
                <w:rFonts w:hint="eastAsia" w:ascii="Times New Roman"/>
                <w:sz w:val="18"/>
                <w:szCs w:val="18"/>
                <w:highlight w:val="none"/>
                <w:vertAlign w:val="baseline"/>
                <w:lang w:val="en-US" w:eastAsia="zh-CN"/>
              </w:rPr>
              <w:t>c.</w:t>
            </w:r>
            <w:r>
              <w:rPr>
                <w:rFonts w:hint="eastAsia" w:ascii="Times New Roman" w:eastAsia="宋体"/>
                <w:sz w:val="18"/>
                <w:szCs w:val="18"/>
                <w:highlight w:val="none"/>
                <w:vertAlign w:val="baseline"/>
                <w:lang w:val="en-US" w:eastAsia="zh-CN"/>
              </w:rPr>
              <w:t>[</w:t>
            </w:r>
            <w:r>
              <w:rPr>
                <w:rFonts w:hint="eastAsia" w:ascii="Times New Roman"/>
                <w:sz w:val="18"/>
                <w:szCs w:val="18"/>
                <w:highlight w:val="none"/>
                <w:vertAlign w:val="baseline"/>
                <w:lang w:val="en-US" w:eastAsia="zh-CN"/>
              </w:rPr>
              <w:t>12,15）</w:t>
            </w:r>
            <w:r>
              <w:rPr>
                <w:rFonts w:hint="eastAsia"/>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p>
            <w:pPr>
              <w:pStyle w:val="2"/>
              <w:numPr>
                <w:ilvl w:val="-1"/>
                <w:numId w:val="0"/>
              </w:numPr>
              <w:rPr>
                <w:rFonts w:hint="default" w:ascii="Times New Roman"/>
                <w:sz w:val="18"/>
                <w:szCs w:val="18"/>
                <w:highlight w:val="none"/>
                <w:vertAlign w:val="baseline"/>
                <w:lang w:val="en-US" w:eastAsia="zh-CN"/>
              </w:rPr>
            </w:pPr>
            <w:r>
              <w:rPr>
                <w:rFonts w:hint="eastAsia" w:ascii="Times New Roman"/>
                <w:sz w:val="18"/>
                <w:szCs w:val="18"/>
                <w:highlight w:val="none"/>
                <w:vertAlign w:val="baseline"/>
                <w:lang w:val="en-US" w:eastAsia="zh-CN"/>
              </w:rPr>
              <w:t>d.</w:t>
            </w:r>
            <w:r>
              <w:rPr>
                <w:rFonts w:hint="eastAsia" w:ascii="宋体" w:hAnsi="宋体" w:cs="宋体"/>
                <w:sz w:val="18"/>
                <w:szCs w:val="18"/>
                <w:highlight w:val="none"/>
                <w:vertAlign w:val="baseline"/>
                <w:lang w:val="en-US" w:eastAsia="zh-CN"/>
              </w:rPr>
              <w:t>≥</w:t>
            </w:r>
            <w:r>
              <w:rPr>
                <w:rFonts w:hint="eastAsia" w:cs="宋体"/>
                <w:sz w:val="18"/>
                <w:szCs w:val="18"/>
                <w:highlight w:val="none"/>
                <w:vertAlign w:val="baseline"/>
                <w:lang w:val="en-US" w:eastAsia="zh-CN"/>
              </w:rPr>
              <w:t>15。</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w:t>
            </w:r>
            <w:r>
              <w:rPr>
                <w:rFonts w:hint="eastAsia" w:cs="宋体"/>
                <w:kern w:val="0"/>
                <w:sz w:val="18"/>
                <w:szCs w:val="18"/>
                <w:highlight w:val="none"/>
                <w:lang w:val="en-US" w:eastAsia="zh-CN" w:bidi="ar-SA"/>
              </w:rPr>
              <w:t>3</w:t>
            </w:r>
            <w:r>
              <w:rPr>
                <w:rFonts w:hint="eastAsia" w:ascii="宋体" w:hAnsi="宋体" w:eastAsia="宋体" w:cs="宋体"/>
                <w:kern w:val="0"/>
                <w:sz w:val="18"/>
                <w:szCs w:val="18"/>
                <w:highlight w:val="none"/>
                <w:lang w:val="en-US" w:eastAsia="zh-CN" w:bidi="ar-SA"/>
              </w:rPr>
              <w:t>）其他：电耗</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kern w:val="0"/>
                <w:sz w:val="18"/>
                <w:szCs w:val="18"/>
                <w:highlight w:val="none"/>
                <w:lang w:val="en-US" w:eastAsia="zh-CN" w:bidi="ar-SA"/>
              </w:rPr>
              <w:t>列出国家标准生产值，并出具产品能耗书面说明，专家给予打分。（0分，</w:t>
            </w:r>
            <w:r>
              <w:rPr>
                <w:rFonts w:hint="eastAsia" w:cs="宋体"/>
                <w:kern w:val="0"/>
                <w:sz w:val="18"/>
                <w:szCs w:val="18"/>
                <w:highlight w:val="none"/>
                <w:lang w:val="en-US" w:eastAsia="zh-CN" w:bidi="ar-SA"/>
              </w:rPr>
              <w:t>7</w:t>
            </w:r>
            <w:r>
              <w:rPr>
                <w:rFonts w:hint="eastAsia" w:ascii="宋体" w:hAnsi="宋体" w:eastAsia="宋体" w:cs="宋体"/>
                <w:kern w:val="0"/>
                <w:sz w:val="18"/>
                <w:szCs w:val="18"/>
                <w:highlight w:val="none"/>
                <w:lang w:val="en-US" w:eastAsia="zh-CN" w:bidi="ar-SA"/>
              </w:rPr>
              <w:t>分]</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b/>
                <w:bCs/>
                <w:kern w:val="0"/>
                <w:sz w:val="18"/>
                <w:szCs w:val="18"/>
                <w:highlight w:val="none"/>
                <w:lang w:val="en-US" w:eastAsia="zh-CN" w:bidi="ar-SA"/>
              </w:rPr>
              <w:t>建设运营类：</w:t>
            </w:r>
            <w:r>
              <w:rPr>
                <w:rFonts w:hint="eastAsia" w:ascii="宋体" w:hAnsi="宋体" w:eastAsia="宋体" w:cs="宋体"/>
                <w:b/>
                <w:bCs/>
                <w:sz w:val="18"/>
                <w:szCs w:val="18"/>
                <w:highlight w:val="none"/>
                <w:lang w:val="en-US" w:eastAsia="zh-CN" w:bidi="ar-SA"/>
              </w:rPr>
              <w:t>系统损耗（%）</w:t>
            </w:r>
          </w:p>
          <w:p>
            <w:pPr>
              <w:pStyle w:val="2"/>
              <w:rPr>
                <w:rFonts w:hint="eastAsia" w:ascii="宋体" w:hAnsi="宋体" w:eastAsia="宋体" w:cs="宋体"/>
                <w:sz w:val="18"/>
                <w:szCs w:val="18"/>
                <w:highlight w:val="none"/>
                <w:lang w:val="en-US" w:eastAsia="zh-CN" w:bidi="ar-SA"/>
              </w:rPr>
            </w:pPr>
            <w:r>
              <w:rPr>
                <w:rFonts w:hint="eastAsia" w:cs="宋体"/>
                <w:sz w:val="18"/>
                <w:szCs w:val="18"/>
                <w:highlight w:val="none"/>
                <w:lang w:val="en-US" w:eastAsia="zh-CN" w:bidi="ar-SA"/>
              </w:rPr>
              <w:t>a.</w:t>
            </w:r>
            <w:r>
              <w:rPr>
                <w:rFonts w:hint="eastAsia" w:ascii="宋体" w:hAnsi="宋体" w:eastAsia="宋体" w:cs="宋体"/>
                <w:sz w:val="18"/>
                <w:szCs w:val="18"/>
                <w:highlight w:val="none"/>
                <w:lang w:val="en-US" w:eastAsia="zh-CN" w:bidi="ar-SA"/>
              </w:rPr>
              <w:t>＜1</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%，（7分）；</w:t>
            </w:r>
          </w:p>
          <w:p>
            <w:pPr>
              <w:pStyle w:val="2"/>
              <w:rPr>
                <w:rFonts w:hint="eastAsia" w:ascii="宋体" w:hAnsi="宋体" w:eastAsia="宋体" w:cs="宋体"/>
                <w:sz w:val="18"/>
                <w:szCs w:val="18"/>
                <w:highlight w:val="none"/>
                <w:vertAlign w:val="baseline"/>
                <w:lang w:val="en-US" w:eastAsia="zh-CN"/>
              </w:rPr>
            </w:pPr>
            <w:r>
              <w:rPr>
                <w:rFonts w:hint="eastAsia" w:cs="宋体"/>
                <w:sz w:val="18"/>
                <w:szCs w:val="18"/>
                <w:highlight w:val="none"/>
                <w:vertAlign w:val="baseline"/>
                <w:lang w:val="en-US" w:eastAsia="zh-CN"/>
              </w:rPr>
              <w:t>b.</w:t>
            </w:r>
            <w:r>
              <w:rPr>
                <w:rFonts w:hint="eastAsia" w:ascii="宋体" w:hAnsi="宋体" w:eastAsia="宋体" w:cs="宋体"/>
                <w:sz w:val="18"/>
                <w:szCs w:val="18"/>
                <w:highlight w:val="none"/>
                <w:vertAlign w:val="baseline"/>
                <w:lang w:val="en-US" w:eastAsia="zh-CN"/>
              </w:rPr>
              <w:t>[1</w:t>
            </w:r>
            <w:r>
              <w:rPr>
                <w:rFonts w:hint="eastAsia" w:cs="宋体"/>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cs="宋体"/>
                <w:sz w:val="18"/>
                <w:szCs w:val="18"/>
                <w:highlight w:val="none"/>
                <w:vertAlign w:val="baseline"/>
                <w:lang w:val="en-US" w:eastAsia="zh-CN"/>
              </w:rPr>
              <w:t>15</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cs="宋体"/>
                <w:sz w:val="18"/>
                <w:szCs w:val="18"/>
                <w:highlight w:val="none"/>
                <w:vertAlign w:val="baseline"/>
                <w:lang w:val="en-US" w:eastAsia="zh-CN"/>
              </w:rPr>
              <w:t>c.</w:t>
            </w:r>
            <w:r>
              <w:rPr>
                <w:rFonts w:hint="eastAsia" w:ascii="宋体" w:hAnsi="宋体" w:eastAsia="宋体" w:cs="宋体"/>
                <w:sz w:val="18"/>
                <w:szCs w:val="18"/>
                <w:highlight w:val="none"/>
                <w:vertAlign w:val="baseline"/>
                <w:lang w:val="en-US" w:eastAsia="zh-CN"/>
              </w:rPr>
              <w:t>[</w:t>
            </w:r>
            <w:r>
              <w:rPr>
                <w:rFonts w:hint="eastAsia" w:cs="宋体"/>
                <w:sz w:val="18"/>
                <w:szCs w:val="18"/>
                <w:highlight w:val="none"/>
                <w:vertAlign w:val="baseline"/>
                <w:lang w:val="en-US" w:eastAsia="zh-CN"/>
              </w:rPr>
              <w:t>15</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p>
            <w:pPr>
              <w:pStyle w:val="2"/>
              <w:rPr>
                <w:rFonts w:hint="default" w:ascii="宋体" w:hAnsi="宋体" w:eastAsia="宋体" w:cs="宋体"/>
                <w:sz w:val="18"/>
                <w:szCs w:val="18"/>
                <w:highlight w:val="none"/>
                <w:lang w:val="en-US" w:eastAsia="zh-CN" w:bidi="ar-SA"/>
              </w:rPr>
            </w:pPr>
            <w:r>
              <w:rPr>
                <w:rFonts w:hint="eastAsia" w:ascii="Times New Roman"/>
                <w:sz w:val="18"/>
                <w:szCs w:val="18"/>
                <w:highlight w:val="none"/>
                <w:vertAlign w:val="baseline"/>
                <w:lang w:val="en-US" w:eastAsia="zh-CN"/>
              </w:rPr>
              <w:t>d.</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2</w:t>
            </w:r>
            <w:r>
              <w:rPr>
                <w:rFonts w:hint="eastAsia" w:ascii="Times New Roman" w:eastAsia="宋体"/>
                <w:sz w:val="18"/>
                <w:szCs w:val="18"/>
                <w:highlight w:val="none"/>
                <w:vertAlign w:val="baseline"/>
                <w:lang w:val="en-US" w:eastAsia="zh-CN"/>
              </w:rPr>
              <w:t>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60</w:t>
            </w:r>
            <w:r>
              <w:rPr>
                <w:rFonts w:hint="eastAsia" w:ascii="宋体" w:hAnsi="宋体" w:cs="宋体"/>
                <w:sz w:val="18"/>
                <w:szCs w:val="18"/>
                <w:highlight w:val="none"/>
                <w:lang w:val="en-US" w:eastAsia="zh-CN" w:bidi="ar-SA"/>
              </w:rPr>
              <w:t>%</w:t>
            </w:r>
            <w:r>
              <w:rPr>
                <w:rFonts w:hint="eastAsia" w:ascii="Times New Roman" w:eastAsia="宋体"/>
                <w:sz w:val="18"/>
                <w:szCs w:val="18"/>
                <w:highlight w:val="none"/>
                <w:vertAlign w:val="baseline"/>
                <w:lang w:val="en-US" w:eastAsia="zh-CN"/>
              </w:rPr>
              <w:t>)</w:t>
            </w:r>
            <w:r>
              <w:rPr>
                <w:rFonts w:hint="eastAsia" w:ascii="Times New Roman"/>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r>
              <w:rPr>
                <w:rFonts w:hint="eastAsia" w:cs="宋体"/>
                <w:sz w:val="18"/>
                <w:szCs w:val="18"/>
                <w:highlight w:val="none"/>
                <w:lang w:val="en-US" w:eastAsia="zh-CN" w:bidi="ar-SA"/>
              </w:rPr>
              <w:t>。</w:t>
            </w:r>
          </w:p>
        </w:tc>
        <w:tc>
          <w:tcPr>
            <w:tcW w:w="1178" w:type="dxa"/>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7</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834" w:type="dxa"/>
            <w:gridSpan w:val="2"/>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836" w:type="dxa"/>
            <w:tcBorders>
              <w:tl2br w:val="nil"/>
              <w:tr2bl w:val="nil"/>
            </w:tcBorders>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可再生利用率</w:t>
            </w:r>
          </w:p>
        </w:tc>
        <w:tc>
          <w:tcPr>
            <w:tcW w:w="1978" w:type="dxa"/>
            <w:tcBorders>
              <w:tl2br w:val="nil"/>
              <w:tr2bl w:val="nil"/>
            </w:tcBorders>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bidi="ar-SA"/>
              </w:rPr>
              <w:t>可再生利用率指</w:t>
            </w:r>
            <w:r>
              <w:rPr>
                <w:rFonts w:hint="eastAsia" w:ascii="宋体" w:hAnsi="宋体" w:cs="宋体"/>
                <w:sz w:val="18"/>
                <w:szCs w:val="18"/>
                <w:lang w:val="en-US" w:eastAsia="zh-CN"/>
              </w:rPr>
              <w:t>预期能够被再使用部分与再生利用部分的质量之和（不包括能量回收部分）与产品总质量的百分比。</w:t>
            </w:r>
          </w:p>
        </w:tc>
        <w:tc>
          <w:tcPr>
            <w:tcW w:w="3022" w:type="dxa"/>
            <w:tcBorders>
              <w:tl2br w:val="nil"/>
              <w:tr2bl w:val="nil"/>
            </w:tcBorders>
            <w:vAlign w:val="center"/>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a.≥30%（2分）；</w:t>
            </w:r>
          </w:p>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b.[10%,50%)（1分）；</w:t>
            </w:r>
          </w:p>
          <w:p>
            <w:pPr>
              <w:autoSpaceDE w:val="0"/>
              <w:autoSpaceDN w:val="0"/>
              <w:jc w:val="left"/>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val="en-US" w:eastAsia="zh-CN"/>
              </w:rPr>
              <w:t>c.</w:t>
            </w: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，10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r>
              <w:rPr>
                <w:rFonts w:hint="eastAsia" w:ascii="宋体" w:hAnsi="宋体" w:cs="宋体"/>
                <w:sz w:val="18"/>
                <w:szCs w:val="18"/>
                <w:lang w:val="en-US" w:eastAsia="zh-CN"/>
              </w:rPr>
              <w:t>（0分）。</w:t>
            </w:r>
          </w:p>
        </w:tc>
        <w:tc>
          <w:tcPr>
            <w:tcW w:w="1178" w:type="dxa"/>
            <w:tcBorders>
              <w:tl2br w:val="nil"/>
              <w:tr2bl w:val="nil"/>
            </w:tcBorders>
            <w:vAlign w:val="center"/>
          </w:tcPr>
          <w:p>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sz w:val="18"/>
                <w:szCs w:val="18"/>
                <w:lang w:val="en-US" w:eastAsia="zh-CN"/>
              </w:rPr>
              <w:t>2</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1670" w:type="dxa"/>
            <w:gridSpan w:val="3"/>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污染物排放水平</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3022" w:type="dxa"/>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a.</w:t>
            </w: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r>
              <w:rPr>
                <w:rFonts w:hint="eastAsia" w:hAnsi="宋体" w:cs="宋体"/>
                <w:sz w:val="18"/>
                <w:szCs w:val="18"/>
                <w:highlight w:val="none"/>
                <w:lang w:val="en-US" w:eastAsia="zh-CN"/>
              </w:rPr>
              <w:t>（3分）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w:t>
            </w: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r>
              <w:rPr>
                <w:rFonts w:hint="eastAsia" w:hAnsi="宋体" w:cs="宋体"/>
                <w:sz w:val="18"/>
                <w:szCs w:val="18"/>
                <w:highlight w:val="none"/>
                <w:lang w:val="en-US" w:eastAsia="zh-CN"/>
              </w:rPr>
              <w:t>。（1分）；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1670" w:type="dxa"/>
            <w:gridSpan w:val="3"/>
            <w:tcBorders>
              <w:tl2br w:val="nil"/>
              <w:tr2bl w:val="nil"/>
            </w:tcBorders>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温室气体排放水平</w:t>
            </w:r>
          </w:p>
        </w:tc>
        <w:tc>
          <w:tcPr>
            <w:tcW w:w="1978" w:type="dxa"/>
            <w:tcBorders>
              <w:tl2br w:val="nil"/>
              <w:tr2bl w:val="nil"/>
            </w:tcBorders>
            <w:vAlign w:val="center"/>
          </w:tcPr>
          <w:p>
            <w:pPr>
              <w:autoSpaceDE w:val="0"/>
              <w:autoSpaceDN w:val="0"/>
              <w:jc w:val="left"/>
              <w:rPr>
                <w:rFonts w:hint="eastAsia" w:ascii="宋体" w:hAnsi="宋体" w:cs="宋体"/>
                <w:sz w:val="18"/>
                <w:szCs w:val="18"/>
              </w:rPr>
            </w:pPr>
            <w:r>
              <w:rPr>
                <w:rFonts w:hint="eastAsia" w:hAnsi="宋体" w:cs="宋体"/>
                <w:sz w:val="18"/>
                <w:szCs w:val="18"/>
                <w:highlight w:val="none"/>
                <w:lang w:val="en-US" w:eastAsia="zh-CN"/>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a.生产制造类企业碳排放强度相较上一年度的下降比例超过6%。</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建设运营类企业碳排放强度相较上一年度的下降比例超过3%。</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b.生产制造类企业碳排放强度相较上一年度的下降比例超过3%、不足6%。建设运营类企业碳排放强度相较上一年度的下降比例超过1%、不足3%。（2分）；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6" w:type="dxa"/>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1670" w:type="dxa"/>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企事业单位开展绿色发展行动、信息披露以及低碳培训的情况。</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a.编制发布资源节约、环境友好、生态良好相关绿色低碳产业转型蓝皮书等文件，或创建近零碳排放试点、编制发布碳中和规划或行动方案。（1分）</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b.主动依法依规开展信息披露。（1分）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c.每年实施2次及以上绿色低碳意识培训。（1分）</w:t>
            </w:r>
          </w:p>
          <w:p>
            <w:pPr>
              <w:pStyle w:val="59"/>
              <w:tabs>
                <w:tab w:val="center" w:pos="4201"/>
                <w:tab w:val="right" w:leader="dot" w:pos="9298"/>
              </w:tabs>
              <w:autoSpaceDE w:val="0"/>
              <w:autoSpaceDN w:val="0"/>
              <w:ind w:left="6" w:hanging="6"/>
              <w:jc w:val="left"/>
              <w:rPr>
                <w:rFonts w:ascii="宋体"/>
                <w:sz w:val="18"/>
                <w:szCs w:val="18"/>
              </w:rPr>
            </w:pPr>
            <w:r>
              <w:rPr>
                <w:rFonts w:hint="eastAsia" w:hAnsi="宋体" w:cs="宋体"/>
                <w:sz w:val="18"/>
                <w:szCs w:val="18"/>
                <w:highlight w:val="none"/>
                <w:lang w:val="en-US" w:eastAsia="zh-CN"/>
              </w:rPr>
              <w:t>该项得分为三项指标累计得分。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6" w:type="dxa"/>
            <w:vMerge w:val="continue"/>
            <w:tcBorders>
              <w:tl2br w:val="nil"/>
              <w:tr2bl w:val="nil"/>
            </w:tcBorders>
            <w:vAlign w:val="center"/>
          </w:tcPr>
          <w:p>
            <w:pPr>
              <w:autoSpaceDE w:val="0"/>
              <w:autoSpaceDN w:val="0"/>
              <w:jc w:val="center"/>
              <w:rPr>
                <w:rFonts w:ascii="宋体" w:hAnsi="宋体" w:cs="宋体"/>
                <w:sz w:val="18"/>
                <w:szCs w:val="18"/>
              </w:rPr>
            </w:pPr>
          </w:p>
        </w:tc>
        <w:tc>
          <w:tcPr>
            <w:tcW w:w="1670" w:type="dxa"/>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978" w:type="dxa"/>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企事业单位履行公共关系和社会公益责任、实施供应链绿色管理等情况。</w:t>
            </w:r>
          </w:p>
        </w:tc>
        <w:tc>
          <w:tcPr>
            <w:tcW w:w="3022" w:type="dxa"/>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a.主动举办环保公益活动，或参加环境保护、教育、扶贫济困等公益活动。积极对本地或外地重大自然灾害或突发事件提供援助。（2分）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b.取得绿色供应链管理体系认证证书，或实施供应商绿色管理相关制度。（1分）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bidi="ar-SA"/>
              </w:rPr>
              <w:t>该项得分为</w:t>
            </w:r>
            <w:r>
              <w:rPr>
                <w:rFonts w:hint="eastAsia" w:hAnsi="宋体" w:cs="宋体"/>
                <w:sz w:val="18"/>
                <w:szCs w:val="18"/>
                <w:highlight w:val="none"/>
                <w:lang w:val="en-US" w:eastAsia="zh-CN" w:bidi="ar-SA"/>
              </w:rPr>
              <w:t>两</w:t>
            </w:r>
            <w:r>
              <w:rPr>
                <w:rFonts w:hint="eastAsia" w:ascii="宋体" w:hAnsi="宋体" w:eastAsia="宋体" w:cs="宋体"/>
                <w:sz w:val="18"/>
                <w:szCs w:val="18"/>
                <w:highlight w:val="none"/>
                <w:lang w:val="en-US" w:eastAsia="zh-CN" w:bidi="ar-SA"/>
              </w:rPr>
              <w:t>项指标累计得分。</w:t>
            </w:r>
          </w:p>
        </w:tc>
        <w:tc>
          <w:tcPr>
            <w:tcW w:w="1178" w:type="dxa"/>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1125" w:type="dxa"/>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4234" w:type="dxa"/>
            <w:gridSpan w:val="5"/>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3022" w:type="dxa"/>
            <w:tcBorders>
              <w:tl2br w:val="nil"/>
              <w:tr2bl w:val="nil"/>
            </w:tcBorders>
            <w:vAlign w:val="center"/>
          </w:tcPr>
          <w:p>
            <w:pPr>
              <w:autoSpaceDE w:val="0"/>
              <w:autoSpaceDN w:val="0"/>
              <w:spacing w:line="240" w:lineRule="atLeast"/>
              <w:jc w:val="center"/>
              <w:rPr>
                <w:rFonts w:ascii="宋体"/>
                <w:b/>
                <w:sz w:val="18"/>
                <w:szCs w:val="18"/>
              </w:rPr>
            </w:pPr>
          </w:p>
        </w:tc>
        <w:tc>
          <w:tcPr>
            <w:tcW w:w="1178" w:type="dxa"/>
            <w:tcBorders>
              <w:tl2br w:val="nil"/>
              <w:tr2bl w:val="nil"/>
            </w:tcBorders>
            <w:vAlign w:val="center"/>
          </w:tcPr>
          <w:p>
            <w:pPr>
              <w:autoSpaceDE w:val="0"/>
              <w:autoSpaceDN w:val="0"/>
              <w:spacing w:line="240" w:lineRule="atLeast"/>
              <w:jc w:val="center"/>
              <w:rPr>
                <w:rFonts w:ascii="宋体"/>
                <w:b/>
                <w:sz w:val="18"/>
                <w:szCs w:val="18"/>
              </w:rPr>
            </w:pPr>
          </w:p>
        </w:tc>
        <w:tc>
          <w:tcPr>
            <w:tcW w:w="1125" w:type="dxa"/>
            <w:tcBorders>
              <w:tl2br w:val="nil"/>
              <w:tr2bl w:val="nil"/>
            </w:tcBorders>
            <w:vAlign w:val="center"/>
          </w:tcPr>
          <w:p>
            <w:pPr>
              <w:autoSpaceDE w:val="0"/>
              <w:autoSpaceDN w:val="0"/>
              <w:spacing w:line="240" w:lineRule="atLeast"/>
              <w:jc w:val="center"/>
              <w:rPr>
                <w:rFonts w:ascii="宋体"/>
                <w:b/>
                <w:sz w:val="18"/>
                <w:szCs w:val="18"/>
              </w:rPr>
            </w:pPr>
          </w:p>
        </w:tc>
      </w:tr>
    </w:tbl>
    <w:p>
      <w:pPr>
        <w:numPr>
          <w:ilvl w:val="1"/>
          <w:numId w:val="0"/>
        </w:numPr>
        <w:spacing w:before="312" w:beforeLines="100" w:after="156" w:afterLines="50"/>
        <w:jc w:val="center"/>
        <w:rPr>
          <w:rFonts w:hint="eastAsia"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3</w:t>
      </w:r>
      <w:r>
        <w:rPr>
          <w:rFonts w:hint="eastAsia" w:ascii="黑体" w:hAnsi="黑体" w:eastAsia="黑体" w:cs="黑体"/>
          <w:szCs w:val="21"/>
        </w:rPr>
        <w:t xml:space="preserve"> </w:t>
      </w:r>
      <w:r>
        <w:rPr>
          <w:rFonts w:hint="eastAsia" w:ascii="黑体" w:hAnsi="黑体" w:eastAsia="黑体" w:cs="黑体"/>
          <w:szCs w:val="21"/>
          <w:lang w:eastAsia="zh-CN"/>
        </w:rPr>
        <w:t>充电、换电设施设备制造与运营</w:t>
      </w:r>
      <w:r>
        <w:rPr>
          <w:rFonts w:hint="eastAsia" w:ascii="黑体" w:hAnsi="黑体" w:eastAsia="黑体" w:cs="黑体"/>
          <w:szCs w:val="21"/>
        </w:rPr>
        <w:t>行业</w:t>
      </w:r>
      <w:r>
        <w:rPr>
          <w:rFonts w:hint="eastAsia" w:ascii="黑体" w:hAnsi="黑体" w:eastAsia="黑体" w:cs="黑体"/>
          <w:szCs w:val="21"/>
          <w:lang w:eastAsia="zh-CN"/>
        </w:rPr>
        <w:t>绿色低碳产业项目</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826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266"/>
        <w:gridCol w:w="4505"/>
        <w:gridCol w:w="1106"/>
        <w:gridCol w:w="138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指标</w:t>
            </w:r>
          </w:p>
        </w:tc>
        <w:tc>
          <w:tcPr>
            <w:tcW w:w="4505"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符合性评价内容</w:t>
            </w:r>
          </w:p>
        </w:tc>
        <w:tc>
          <w:tcPr>
            <w:tcW w:w="1106"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ascii="Times New Roman"/>
                <w:b/>
                <w:sz w:val="18"/>
                <w:szCs w:val="18"/>
              </w:rPr>
              <w:t>评分标准</w:t>
            </w:r>
          </w:p>
        </w:tc>
        <w:tc>
          <w:tcPr>
            <w:tcW w:w="138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目录符合</w:t>
            </w:r>
          </w:p>
        </w:tc>
        <w:tc>
          <w:tcPr>
            <w:tcW w:w="4505"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rPr>
                <w:rFonts w:hint="eastAsia" w:hAnsi="宋体" w:eastAsia="宋体" w:cs="宋体"/>
                <w:sz w:val="18"/>
                <w:szCs w:val="18"/>
                <w:lang w:eastAsia="zh-CN"/>
              </w:rPr>
            </w:pPr>
            <w:r>
              <w:rPr>
                <w:rFonts w:hint="eastAsia" w:hAnsi="宋体" w:cs="宋体"/>
                <w:sz w:val="18"/>
                <w:szCs w:val="18"/>
              </w:rPr>
              <w:t>申报绿色低碳产业认定的项目应属于充电设施及设备制造、换电设施及设备制造、充换电设施运营等</w:t>
            </w:r>
            <w:r>
              <w:rPr>
                <w:rFonts w:hint="eastAsia" w:hAnsi="宋体" w:cs="宋体"/>
                <w:sz w:val="18"/>
                <w:szCs w:val="18"/>
                <w:highlight w:val="none"/>
                <w:lang w:eastAsia="zh-CN"/>
              </w:rPr>
              <w:t>充电、换电设施设备制造与运营及运营产业</w:t>
            </w:r>
            <w:r>
              <w:rPr>
                <w:rFonts w:hint="eastAsia" w:hAnsi="宋体" w:cs="宋体"/>
                <w:sz w:val="18"/>
                <w:szCs w:val="18"/>
              </w:rPr>
              <w:t>，且符合安全、环保、质量相关法规政策、强制性标准等的要求</w:t>
            </w:r>
            <w:r>
              <w:rPr>
                <w:rFonts w:hint="eastAsia" w:hAnsi="宋体" w:cs="宋体"/>
                <w:sz w:val="18"/>
                <w:szCs w:val="18"/>
                <w:lang w:eastAsia="zh-CN"/>
              </w:rPr>
              <w:t>。</w:t>
            </w:r>
          </w:p>
        </w:tc>
        <w:tc>
          <w:tcPr>
            <w:tcW w:w="1106"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技术符合</w:t>
            </w:r>
          </w:p>
        </w:tc>
        <w:tc>
          <w:tcPr>
            <w:tcW w:w="4505"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rPr>
                <w:rFonts w:hAnsi="宋体" w:cs="宋体"/>
                <w:sz w:val="18"/>
                <w:szCs w:val="18"/>
              </w:rPr>
            </w:pPr>
            <w:r>
              <w:rPr>
                <w:rFonts w:hint="eastAsia" w:hAnsi="宋体" w:cs="宋体"/>
                <w:sz w:val="18"/>
                <w:szCs w:val="18"/>
              </w:rPr>
              <w:t>提供的产品或服务应符合国家、广东省及深圳市相关主管部门发布的法律法规和政策标准要求，</w:t>
            </w:r>
            <w:r>
              <w:rPr>
                <w:rFonts w:hint="eastAsia" w:hAnsi="宋体" w:cs="宋体"/>
                <w:sz w:val="18"/>
                <w:szCs w:val="18"/>
                <w:highlight w:val="none"/>
                <w:lang w:eastAsia="zh-CN"/>
              </w:rPr>
              <w:t>相关</w:t>
            </w:r>
            <w:r>
              <w:rPr>
                <w:rFonts w:hint="eastAsia" w:hAnsi="宋体" w:cs="宋体"/>
                <w:sz w:val="18"/>
                <w:szCs w:val="18"/>
                <w:highlight w:val="none"/>
              </w:rPr>
              <w:t>充电设施及设备制造、换电设施及设备制造、充换电设施运营</w:t>
            </w:r>
            <w:r>
              <w:rPr>
                <w:rFonts w:hint="eastAsia" w:hAnsi="宋体" w:cs="宋体"/>
                <w:sz w:val="18"/>
                <w:szCs w:val="18"/>
                <w:highlight w:val="none"/>
                <w:lang w:eastAsia="zh-CN"/>
              </w:rPr>
              <w:t>情况</w:t>
            </w:r>
            <w:r>
              <w:rPr>
                <w:rFonts w:hint="eastAsia" w:hAnsi="宋体" w:cs="宋体"/>
                <w:sz w:val="18"/>
                <w:szCs w:val="18"/>
              </w:rPr>
              <w:t>符合深圳市绿色低碳产业认定规则体系规定的技术要求。</w:t>
            </w:r>
          </w:p>
        </w:tc>
        <w:tc>
          <w:tcPr>
            <w:tcW w:w="1106"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ascii="Times New Roman"/>
                <w:sz w:val="18"/>
                <w:szCs w:val="18"/>
              </w:rPr>
            </w:pPr>
          </w:p>
        </w:tc>
      </w:tr>
    </w:tbl>
    <w:p>
      <w:pPr>
        <w:numPr>
          <w:ilvl w:val="1"/>
          <w:numId w:val="0"/>
        </w:numPr>
        <w:spacing w:before="312" w:beforeLines="100" w:after="156" w:afterLines="50"/>
        <w:jc w:val="center"/>
        <w:rPr>
          <w:rFonts w:hint="eastAsia" w:ascii="黑体" w:hAnsi="黑体" w:eastAsia="黑体" w:cs="黑体"/>
          <w:szCs w:val="21"/>
        </w:rPr>
      </w:pPr>
    </w:p>
    <w:p>
      <w:pPr>
        <w:numPr>
          <w:ilvl w:val="1"/>
          <w:numId w:val="0"/>
        </w:numPr>
        <w:spacing w:before="312" w:beforeLines="100" w:after="156" w:afterLines="50"/>
        <w:jc w:val="center"/>
        <w:rPr>
          <w:rFonts w:hint="eastAsia" w:ascii="黑体" w:hAnsi="黑体" w:eastAsia="黑体" w:cs="黑体"/>
          <w:szCs w:val="21"/>
        </w:rPr>
      </w:pPr>
    </w:p>
    <w:p>
      <w:pPr>
        <w:numPr>
          <w:ilvl w:val="1"/>
          <w:numId w:val="0"/>
        </w:numPr>
        <w:spacing w:before="312" w:beforeLines="100" w:after="156" w:afterLines="50"/>
        <w:jc w:val="center"/>
        <w:rPr>
          <w:rFonts w:hint="eastAsia" w:ascii="黑体" w:hAnsi="黑体" w:eastAsia="黑体" w:cs="黑体"/>
          <w:szCs w:val="21"/>
        </w:rPr>
      </w:pPr>
    </w:p>
    <w:p>
      <w:pPr>
        <w:numPr>
          <w:ilvl w:val="1"/>
          <w:numId w:val="0"/>
        </w:numPr>
        <w:spacing w:before="312" w:beforeLines="100" w:after="156" w:afterLines="50"/>
        <w:jc w:val="center"/>
        <w:rPr>
          <w:rFonts w:hint="eastAsia" w:ascii="黑体" w:hAnsi="黑体" w:eastAsia="黑体" w:cs="黑体"/>
          <w:szCs w:val="21"/>
        </w:rPr>
      </w:pPr>
    </w:p>
    <w:p>
      <w:pPr>
        <w:numPr>
          <w:ilvl w:val="1"/>
          <w:numId w:val="0"/>
        </w:numPr>
        <w:spacing w:before="312" w:beforeLines="100" w:after="156" w:afterLines="50"/>
        <w:jc w:val="center"/>
        <w:rPr>
          <w:rFonts w:hint="eastAsia" w:ascii="黑体" w:hAnsi="黑体" w:eastAsia="黑体" w:cs="黑体"/>
          <w:szCs w:val="21"/>
        </w:rPr>
      </w:pPr>
    </w:p>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4</w:t>
      </w:r>
      <w:r>
        <w:rPr>
          <w:rFonts w:hint="eastAsia" w:ascii="黑体" w:hAnsi="黑体" w:eastAsia="黑体" w:cs="黑体"/>
          <w:szCs w:val="21"/>
        </w:rPr>
        <w:t xml:space="preserve"> </w:t>
      </w:r>
      <w:r>
        <w:rPr>
          <w:rFonts w:hint="eastAsia" w:ascii="黑体" w:hAnsi="黑体" w:eastAsia="黑体" w:cs="黑体"/>
          <w:szCs w:val="21"/>
          <w:lang w:eastAsia="zh-CN"/>
        </w:rPr>
        <w:t>充电、换电设施设备制造与运营</w:t>
      </w:r>
      <w:r>
        <w:rPr>
          <w:rFonts w:hint="eastAsia" w:ascii="黑体" w:hAnsi="黑体" w:eastAsia="黑体" w:cs="黑体"/>
          <w:szCs w:val="21"/>
        </w:rPr>
        <w:t>行业</w:t>
      </w:r>
      <w:r>
        <w:rPr>
          <w:rFonts w:hint="eastAsia" w:ascii="黑体" w:hAnsi="黑体" w:eastAsia="黑体" w:cs="黑体"/>
          <w:szCs w:val="21"/>
          <w:lang w:eastAsia="zh-CN"/>
        </w:rPr>
        <w:t>绿色低碳产业项目</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8541"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16"/>
        <w:gridCol w:w="2004"/>
        <w:gridCol w:w="2485"/>
        <w:gridCol w:w="1025"/>
        <w:gridCol w:w="10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一级指标</w:t>
            </w:r>
          </w:p>
        </w:tc>
        <w:tc>
          <w:tcPr>
            <w:tcW w:w="101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二级指标</w:t>
            </w:r>
          </w:p>
        </w:tc>
        <w:tc>
          <w:tcPr>
            <w:tcW w:w="2004"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评价要求</w:t>
            </w:r>
          </w:p>
        </w:tc>
        <w:tc>
          <w:tcPr>
            <w:tcW w:w="2485"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评分标准</w:t>
            </w:r>
          </w:p>
        </w:tc>
        <w:tc>
          <w:tcPr>
            <w:tcW w:w="102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00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2" w:type="dxa"/>
            <w:gridSpan w:val="2"/>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基础分值</w:t>
            </w:r>
          </w:p>
        </w:tc>
        <w:tc>
          <w:tcPr>
            <w:tcW w:w="2004"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通过符合性评价</w:t>
            </w:r>
          </w:p>
        </w:tc>
        <w:tc>
          <w:tcPr>
            <w:tcW w:w="248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通过符合性评价</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30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技术表现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2004" w:type="dxa"/>
            <w:tcBorders>
              <w:top w:val="single" w:color="auto" w:sz="8" w:space="0"/>
              <w:bottom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lang w:val="en-US" w:eastAsia="zh-CN"/>
              </w:rPr>
              <w:t>项目拥有并直接应用的有效知识产权数量情况。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有效知识产权的应用数量处于行业领先水平</w:t>
            </w: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有效知识产权的应用数量处于行业良好水平(1,3]</w:t>
            </w:r>
            <w:r>
              <w:rPr>
                <w:rFonts w:hint="eastAsia" w:hAnsi="宋体" w:cs="宋体"/>
                <w:sz w:val="18"/>
                <w:szCs w:val="18"/>
              </w:rPr>
              <w:t>；</w:t>
            </w:r>
          </w:p>
          <w:p>
            <w:pPr>
              <w:pStyle w:val="24"/>
              <w:ind w:firstLine="0" w:firstLineChars="0"/>
              <w:jc w:val="left"/>
              <w:rPr>
                <w:rFonts w:hint="eastAsia" w:hAnsi="宋体" w:eastAsia="宋体" w:cs="宋体"/>
                <w:sz w:val="18"/>
                <w:szCs w:val="18"/>
                <w:lang w:eastAsia="zh-CN"/>
              </w:rPr>
            </w:pPr>
            <w:r>
              <w:rPr>
                <w:rFonts w:hint="eastAsia" w:hAnsi="宋体" w:cs="宋体"/>
                <w:sz w:val="18"/>
                <w:szCs w:val="18"/>
              </w:rPr>
              <w:t>c.</w:t>
            </w:r>
            <w:r>
              <w:rPr>
                <w:rFonts w:hint="eastAsia" w:hAnsi="宋体" w:cs="宋体"/>
                <w:sz w:val="18"/>
                <w:szCs w:val="18"/>
                <w:lang w:val="en-US" w:eastAsia="zh-CN"/>
              </w:rPr>
              <w:t>有效知识产权的应用数量处于行业一般水平[0,1]</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关键技术先进性</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应用的关键技术在行业内或地区内的领先水平。</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p>
            <w:pPr>
              <w:pStyle w:val="24"/>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关键技术处于行业较好水平，具有一定技术推动作用(5,10]</w:t>
            </w:r>
            <w:r>
              <w:rPr>
                <w:rFonts w:hint="eastAsia" w:hAnsi="宋体" w:cs="宋体"/>
                <w:sz w:val="18"/>
                <w:szCs w:val="18"/>
              </w:rPr>
              <w:t>；</w:t>
            </w:r>
          </w:p>
          <w:p>
            <w:pPr>
              <w:pStyle w:val="24"/>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关键技术处于行业平均水平(0,5]；</w:t>
            </w:r>
          </w:p>
          <w:p>
            <w:pPr>
              <w:pStyle w:val="24"/>
              <w:ind w:firstLine="0" w:firstLineChars="0"/>
              <w:jc w:val="left"/>
              <w:rPr>
                <w:rFonts w:hint="eastAsia" w:hAnsi="宋体" w:cs="宋体"/>
                <w:sz w:val="18"/>
                <w:szCs w:val="18"/>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环境效益</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取得的资源节约、环境友好、生态良好相关实际环境效益贡献量及影响广度。</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a.取得的环境效益效果显著，处于行业领先水平(15,20]；</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b.取得的环境效益效果较好，处于行业良好水平(10,15]；</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c.取得的环境效益效果一般，处于行业一般水平[0,10]。</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20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val="en-US" w:eastAsia="zh-CN"/>
              </w:rPr>
            </w:pPr>
            <w:r>
              <w:rPr>
                <w:rFonts w:hint="eastAsia" w:hAnsi="宋体" w:cs="宋体"/>
                <w:sz w:val="18"/>
                <w:szCs w:val="18"/>
                <w:lang w:val="en-US" w:eastAsia="zh-CN"/>
              </w:rPr>
              <w:t>环境表现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从设备绿色化水平、材料绿色化水平两个方面综合评估。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a.设备材料绿色化程度较高得(7,10]分；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b.设备材料绿色化程度中等得(4,7]分；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c.设备材料绿色化程度一般得(0,4]分。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绿色低碳运营</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从单位总投资综合能耗、单位总投资用水量、单位总投资用地面积、单位总投资碳排放量、可再生利用率等方面进行综合评估。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d.两项指标达到业内领先水平得(3,6]分；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e.一项指标达到业内领先水平得(0,3]分。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污染物排放水平</w:t>
            </w:r>
          </w:p>
        </w:tc>
        <w:tc>
          <w:tcPr>
            <w:tcW w:w="2004"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项目自身生产运营过程向环境排放污染物的情况。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a.不排放污染物，或优于排污许可证限值20%，或优于排放源所在地同类行业污染物排放限值20%得</w:t>
            </w: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r>
              <w:rPr>
                <w:rFonts w:hint="eastAsia" w:hAnsi="宋体" w:cs="宋体"/>
                <w:sz w:val="18"/>
                <w:szCs w:val="18"/>
                <w:lang w:val="en-US" w:eastAsia="zh-CN"/>
              </w:rPr>
              <w:t>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b.优于排污许可证限值10%，或优于排放源所在地同类行业污染物排放限值10%得(0,2]分；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c.不满足上述任何一项得0分。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24"/>
        <w:rPr>
          <w:rFonts w:ascii="Times New Roman"/>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pPr>
        <w:pStyle w:val="86"/>
        <w:rPr>
          <w:rFonts w:ascii="Times New Roman"/>
        </w:rPr>
      </w:pPr>
      <w:bookmarkStart w:id="142" w:name="_Toc18413"/>
      <w:bookmarkStart w:id="143" w:name="_Toc7211"/>
      <w:r>
        <w:rPr>
          <w:rFonts w:ascii="Times New Roman"/>
        </w:rPr>
        <w:br w:type="textWrapping"/>
      </w:r>
      <w:bookmarkStart w:id="144" w:name="_Toc118282051"/>
      <w:r>
        <w:rPr>
          <w:rFonts w:ascii="Times New Roman"/>
        </w:rPr>
        <w:t>（资料性）</w:t>
      </w:r>
      <w:r>
        <w:rPr>
          <w:rFonts w:ascii="Times New Roman"/>
        </w:rPr>
        <w:br w:type="textWrapping"/>
      </w:r>
      <w:r>
        <w:rPr>
          <w:rFonts w:hint="eastAsia" w:ascii="Times New Roman"/>
          <w:lang w:eastAsia="zh-CN"/>
        </w:rPr>
        <w:t>充电、换电设施设备制造与运营</w:t>
      </w:r>
      <w:r>
        <w:rPr>
          <w:rFonts w:hint="eastAsia" w:ascii="Times New Roman"/>
        </w:rPr>
        <w:t>行业</w:t>
      </w:r>
      <w:r>
        <w:rPr>
          <w:rFonts w:hint="eastAsia" w:ascii="Times New Roman"/>
          <w:lang w:eastAsia="zh-CN"/>
        </w:rPr>
        <w:t>绿色低碳产业企业</w:t>
      </w:r>
      <w:r>
        <w:rPr>
          <w:rFonts w:hint="eastAsia" w:ascii="Times New Roman"/>
        </w:rPr>
        <w:t>认定评价报告模板</w:t>
      </w:r>
      <w:bookmarkEnd w:id="142"/>
      <w:bookmarkEnd w:id="143"/>
      <w:bookmarkEnd w:id="144"/>
    </w:p>
    <w:p>
      <w:pPr>
        <w:pStyle w:val="89"/>
        <w:numPr>
          <w:ilvl w:val="1"/>
          <w:numId w:val="0"/>
        </w:numPr>
        <w:spacing w:before="156" w:after="156"/>
        <w:jc w:val="both"/>
        <w:rPr>
          <w:rFonts w:ascii="Times New Roman" w:eastAsia="Times New Roman"/>
        </w:rPr>
      </w:pPr>
      <w:r>
        <w:rPr>
          <w:rFonts w:hint="eastAsia" w:hAnsi="黑体" w:cs="黑体"/>
        </w:rPr>
        <w:t>B.1 封面</w:t>
      </w:r>
    </w:p>
    <w:p>
      <w:pPr>
        <w:pStyle w:val="24"/>
        <w:rPr>
          <w:rFonts w:ascii="Times New Roman" w:eastAsia="Times New Roman"/>
          <w:szCs w:val="24"/>
        </w:rPr>
      </w:pPr>
      <w:r>
        <w:rPr>
          <w:rFonts w:ascii="Times New Roman"/>
          <w:szCs w:val="24"/>
        </w:rPr>
        <mc:AlternateContent>
          <mc:Choice Requires="wps">
            <w:drawing>
              <wp:anchor distT="45720" distB="45720" distL="114300" distR="114300" simplePos="0" relativeHeight="251664384"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充电、换电设施设备制造与运营</w:t>
                            </w:r>
                            <w:r>
                              <w:rPr>
                                <w:rFonts w:hint="eastAsia"/>
                                <w:b/>
                                <w:szCs w:val="24"/>
                                <w:lang w:val="en-US" w:eastAsia="zh-CN"/>
                              </w:rPr>
                              <w:t>领域</w:t>
                            </w:r>
                            <w:r>
                              <w:rPr>
                                <w:rFonts w:hint="eastAsia"/>
                                <w:b/>
                                <w:szCs w:val="24"/>
                              </w:rPr>
                              <w:t>绿色</w:t>
                            </w:r>
                            <w:r>
                              <w:rPr>
                                <w:rFonts w:hint="eastAsia"/>
                                <w:b/>
                                <w:szCs w:val="24"/>
                                <w:lang w:val="en-US" w:eastAsia="zh-CN"/>
                              </w:rPr>
                              <w:t>低碳</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4384;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充电、换电设施设备制造与运营</w:t>
                      </w:r>
                      <w:r>
                        <w:rPr>
                          <w:rFonts w:hint="eastAsia"/>
                          <w:b/>
                          <w:szCs w:val="24"/>
                          <w:lang w:val="en-US" w:eastAsia="zh-CN"/>
                        </w:rPr>
                        <w:t>领域</w:t>
                      </w:r>
                      <w:r>
                        <w:rPr>
                          <w:rFonts w:hint="eastAsia"/>
                          <w:b/>
                          <w:szCs w:val="24"/>
                        </w:rPr>
                        <w:t>绿色</w:t>
                      </w:r>
                      <w:r>
                        <w:rPr>
                          <w:rFonts w:hint="eastAsia"/>
                          <w:b/>
                          <w:szCs w:val="24"/>
                          <w:lang w:val="en-US" w:eastAsia="zh-CN"/>
                        </w:rPr>
                        <w:t>低碳</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lang w:eastAsia="zh-CN"/>
        </w:rPr>
        <w:t>充电、换电设施设备制造与运营</w:t>
      </w:r>
      <w:r>
        <w:rPr>
          <w:rFonts w:hint="eastAsia" w:ascii="Times New Roman"/>
          <w:szCs w:val="24"/>
        </w:rPr>
        <w:t>行业</w:t>
      </w:r>
      <w:r>
        <w:rPr>
          <w:rFonts w:hint="eastAsia" w:ascii="Times New Roman"/>
          <w:szCs w:val="24"/>
          <w:lang w:eastAsia="zh-CN"/>
        </w:rPr>
        <w:t>绿色低碳产业</w:t>
      </w:r>
      <w:r>
        <w:rPr>
          <w:rFonts w:hint="eastAsia" w:ascii="Times New Roman"/>
          <w:szCs w:val="24"/>
        </w:rPr>
        <w:t>认定评价报告的封面</w:t>
      </w:r>
      <w:r>
        <w:rPr>
          <w:rFonts w:hint="eastAsia" w:hAnsi="宋体" w:cs="宋体"/>
          <w:szCs w:val="24"/>
        </w:rPr>
        <w:t>要求见表B.1。</w:t>
      </w:r>
    </w:p>
    <w:p>
      <w:pPr>
        <w:pStyle w:val="89"/>
        <w:numPr>
          <w:ilvl w:val="1"/>
          <w:numId w:val="0"/>
        </w:numPr>
        <w:tabs>
          <w:tab w:val="clear" w:pos="0"/>
        </w:tabs>
        <w:spacing w:before="156" w:after="156"/>
        <w:rPr>
          <w:rFonts w:ascii="Times New Roman" w:eastAsia="Times New Roman"/>
        </w:rPr>
      </w:pPr>
      <w:r>
        <w:rPr>
          <w:rFonts w:hint="eastAsia" w:ascii="Times New Roman"/>
        </w:rPr>
        <w:t xml:space="preserve">表B.1 </w:t>
      </w:r>
      <w:r>
        <w:rPr>
          <w:rFonts w:hint="eastAsia" w:ascii="Times New Roman"/>
          <w:lang w:eastAsia="zh-CN"/>
        </w:rPr>
        <w:t>充电、换电设施设备制造与运营</w:t>
      </w:r>
      <w:r>
        <w:rPr>
          <w:rFonts w:hint="eastAsia" w:ascii="Times New Roman"/>
        </w:rPr>
        <w:t>行业</w:t>
      </w:r>
      <w:r>
        <w:rPr>
          <w:rFonts w:hint="eastAsia" w:ascii="Times New Roman"/>
          <w:lang w:eastAsia="zh-CN"/>
        </w:rPr>
        <w:t>绿色低碳产业</w:t>
      </w:r>
      <w:r>
        <w:rPr>
          <w:rFonts w:hint="eastAsia" w:ascii="Times New Roman"/>
        </w:rPr>
        <w:t>认定评价报告封面</w:t>
      </w:r>
    </w:p>
    <w:p>
      <w:pPr>
        <w:pStyle w:val="89"/>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4"/>
        <w:rPr>
          <w:rFonts w:ascii="Times New Roman" w:eastAsia="Times New Roman"/>
          <w:szCs w:val="24"/>
        </w:rPr>
      </w:pPr>
      <w:r>
        <w:rPr>
          <w:rFonts w:hint="eastAsia" w:ascii="Times New Roman"/>
          <w:szCs w:val="24"/>
        </w:rPr>
        <w:t>企事业单位基本信息的填报要求</w:t>
      </w:r>
      <w:r>
        <w:rPr>
          <w:rFonts w:hint="eastAsia" w:asciiTheme="minorEastAsia" w:hAnsiTheme="minorEastAsia" w:eastAsiaTheme="minorEastAsia"/>
          <w:szCs w:val="24"/>
        </w:rPr>
        <w:t>见表B.2。</w:t>
      </w:r>
    </w:p>
    <w:p>
      <w:pPr>
        <w:pStyle w:val="89"/>
        <w:numPr>
          <w:ilvl w:val="1"/>
          <w:numId w:val="0"/>
        </w:numPr>
        <w:spacing w:before="156" w:after="156"/>
        <w:rPr>
          <w:rFonts w:ascii="Times New Roman" w:eastAsia="Times New Roman"/>
        </w:rPr>
      </w:pPr>
      <w:r>
        <w:rPr>
          <w:rFonts w:hint="eastAsia" w:ascii="Times New Roman"/>
        </w:rPr>
        <w:t>表B.2 基本信息表</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w:t>
            </w:r>
            <w:r>
              <w:rPr>
                <w:rFonts w:hint="eastAsia"/>
                <w:kern w:val="0"/>
                <w:sz w:val="18"/>
                <w:szCs w:val="18"/>
                <w:lang w:eastAsia="zh-CN"/>
              </w:rPr>
              <w:t>绿色低碳产业</w:t>
            </w:r>
            <w:r>
              <w:rPr>
                <w:rFonts w:hint="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pStyle w:val="2"/>
              <w:rPr>
                <w:kern w:val="0"/>
                <w:sz w:val="18"/>
                <w:szCs w:val="18"/>
              </w:rPr>
            </w:pPr>
          </w:p>
          <w:p>
            <w:pPr>
              <w:pStyle w:val="2"/>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89"/>
        <w:numPr>
          <w:ilvl w:val="1"/>
          <w:numId w:val="0"/>
        </w:numPr>
        <w:spacing w:before="156" w:after="156"/>
        <w:jc w:val="both"/>
        <w:rPr>
          <w:rFonts w:hAnsi="黑体" w:cs="黑体"/>
        </w:rPr>
      </w:pPr>
      <w:r>
        <w:rPr>
          <w:rFonts w:hint="eastAsia" w:hAnsi="黑体" w:cs="黑体"/>
        </w:rPr>
        <w:t>B.3 基本情况概述</w:t>
      </w:r>
    </w:p>
    <w:p>
      <w:pPr>
        <w:pStyle w:val="24"/>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89"/>
        <w:numPr>
          <w:ilvl w:val="1"/>
          <w:numId w:val="0"/>
        </w:numPr>
        <w:spacing w:before="156" w:after="156"/>
        <w:jc w:val="both"/>
        <w:rPr>
          <w:rFonts w:hAnsi="黑体" w:cs="黑体"/>
        </w:rPr>
      </w:pPr>
      <w:r>
        <w:rPr>
          <w:rFonts w:hint="eastAsia" w:hAnsi="黑体" w:cs="黑体"/>
        </w:rPr>
        <w:t>B.4</w:t>
      </w:r>
      <w:r>
        <w:rPr>
          <w:rFonts w:hint="eastAsia" w:hAnsi="黑体" w:cs="黑体"/>
          <w:lang w:eastAsia="zh-CN"/>
        </w:rPr>
        <w:t>绿色低碳产业</w:t>
      </w:r>
      <w:r>
        <w:rPr>
          <w:rFonts w:hint="eastAsia" w:hAnsi="黑体" w:cs="黑体"/>
        </w:rPr>
        <w:t>认定情况</w:t>
      </w:r>
    </w:p>
    <w:p>
      <w:pPr>
        <w:pStyle w:val="24"/>
        <w:rPr>
          <w:rFonts w:ascii="Times New Roman" w:eastAsia="Times New Roman"/>
          <w:szCs w:val="24"/>
        </w:rPr>
      </w:pPr>
      <w:r>
        <w:rPr>
          <w:rFonts w:hint="eastAsia" w:ascii="Times New Roman"/>
          <w:szCs w:val="24"/>
        </w:rPr>
        <w:t>依据本文件及《</w:t>
      </w:r>
      <w:r>
        <w:rPr>
          <w:rFonts w:hint="eastAsia" w:ascii="Times New Roman"/>
          <w:szCs w:val="24"/>
          <w:lang w:val="en-US" w:eastAsia="zh-CN"/>
        </w:rPr>
        <w:t>深圳市</w:t>
      </w:r>
      <w:r>
        <w:rPr>
          <w:rFonts w:hint="eastAsia" w:ascii="Times New Roman"/>
          <w:szCs w:val="24"/>
          <w:lang w:eastAsia="zh-CN"/>
        </w:rPr>
        <w:t>绿色低碳产业</w:t>
      </w:r>
      <w:r>
        <w:rPr>
          <w:rFonts w:hint="eastAsia" w:ascii="Times New Roman"/>
          <w:szCs w:val="24"/>
        </w:rPr>
        <w:t xml:space="preserve">认定评价导则》对基本要求、符合性评价要求及综合评价要求等内容进行情况描述。 </w:t>
      </w:r>
    </w:p>
    <w:p>
      <w:pPr>
        <w:pStyle w:val="89"/>
        <w:numPr>
          <w:ilvl w:val="1"/>
          <w:numId w:val="0"/>
        </w:numPr>
        <w:spacing w:before="156" w:after="156"/>
        <w:jc w:val="both"/>
        <w:rPr>
          <w:rFonts w:ascii="Times New Roman" w:eastAsia="Times New Roman"/>
        </w:rPr>
      </w:pPr>
      <w:r>
        <w:rPr>
          <w:rFonts w:hint="eastAsia" w:hAnsi="黑体" w:cs="黑体"/>
        </w:rPr>
        <w:t>B.4.1 基本要求认定情况</w:t>
      </w:r>
    </w:p>
    <w:p>
      <w:pPr>
        <w:pStyle w:val="24"/>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89"/>
        <w:numPr>
          <w:ilvl w:val="1"/>
          <w:numId w:val="0"/>
        </w:numPr>
        <w:spacing w:before="156" w:after="156"/>
        <w:jc w:val="both"/>
        <w:rPr>
          <w:rFonts w:hAnsi="黑体" w:cs="黑体"/>
        </w:rPr>
      </w:pPr>
      <w:r>
        <w:rPr>
          <w:rFonts w:hint="eastAsia" w:hAnsi="黑体" w:cs="黑体"/>
        </w:rPr>
        <w:t>B.4.2 符合性评价认定情况</w:t>
      </w:r>
    </w:p>
    <w:p>
      <w:pPr>
        <w:pStyle w:val="24"/>
        <w:rPr>
          <w:rFonts w:hint="eastAsia" w:ascii="Times New Roman" w:eastAsia="宋体"/>
          <w:szCs w:val="24"/>
          <w:lang w:eastAsia="zh-CN"/>
        </w:rPr>
      </w:pPr>
      <w:r>
        <w:rPr>
          <w:rFonts w:hint="eastAsia" w:ascii="Times New Roman"/>
          <w:szCs w:val="24"/>
        </w:rPr>
        <w:t>目录符合。主要描述经营范围，明确申报认定评价的主营业务属于</w:t>
      </w:r>
      <w:r>
        <w:rPr>
          <w:rFonts w:hint="eastAsia" w:ascii="宋体" w:hAnsi="宋体" w:cs="宋体"/>
          <w:kern w:val="0"/>
          <w:szCs w:val="20"/>
          <w:lang w:eastAsia="zh-CN"/>
        </w:rPr>
        <w:t>充电设施及设备制造、换电设施及设备制造、</w:t>
      </w:r>
      <w:r>
        <w:rPr>
          <w:rFonts w:hint="eastAsia" w:ascii="宋体" w:hAnsi="宋体" w:eastAsia="宋体" w:cs="宋体"/>
          <w:kern w:val="0"/>
          <w:szCs w:val="20"/>
          <w:lang w:eastAsia="zh-CN"/>
        </w:rPr>
        <w:t>充换电设施运营</w:t>
      </w:r>
      <w:r>
        <w:rPr>
          <w:rFonts w:hint="eastAsia" w:ascii="Times New Roman"/>
          <w:szCs w:val="24"/>
        </w:rPr>
        <w:t>等</w:t>
      </w:r>
      <w:r>
        <w:rPr>
          <w:rFonts w:hint="eastAsia" w:ascii="Times New Roman"/>
          <w:szCs w:val="24"/>
          <w:lang w:eastAsia="zh-CN"/>
        </w:rPr>
        <w:t>绿色低碳产业</w:t>
      </w:r>
      <w:r>
        <w:rPr>
          <w:rFonts w:hint="eastAsia" w:ascii="Times New Roman"/>
          <w:szCs w:val="24"/>
        </w:rPr>
        <w:t>领域</w:t>
      </w:r>
      <w:r>
        <w:rPr>
          <w:rFonts w:hint="eastAsia" w:ascii="Times New Roman"/>
          <w:szCs w:val="24"/>
          <w:lang w:eastAsia="zh-CN"/>
        </w:rPr>
        <w:t>，</w:t>
      </w:r>
      <w:r>
        <w:rPr>
          <w:rFonts w:hint="eastAsia" w:ascii="Times New Roman" w:hAnsi="Times New Roman" w:cs="Times New Roman"/>
          <w:szCs w:val="24"/>
          <w:highlight w:val="none"/>
        </w:rPr>
        <w:t>确认其绿色业务占比达到50%或以上，或跨界规模达到1亿元、在国内外新兴领域超前领先</w:t>
      </w:r>
      <w:r>
        <w:rPr>
          <w:rFonts w:hint="eastAsia" w:ascii="Times New Roman" w:cs="Times New Roman"/>
          <w:szCs w:val="24"/>
          <w:lang w:eastAsia="zh-CN"/>
        </w:rPr>
        <w:t>。</w:t>
      </w:r>
    </w:p>
    <w:p>
      <w:pPr>
        <w:pStyle w:val="24"/>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技术符合。描述提供的产品或服务应符合国家、广东省及深圳市相关主管部门发布的法律法规和政策标准要求，相关</w:t>
      </w:r>
      <w:r>
        <w:rPr>
          <w:rFonts w:hint="eastAsia" w:ascii="宋体" w:hAnsi="宋体" w:cs="宋体"/>
          <w:kern w:val="0"/>
          <w:szCs w:val="20"/>
          <w:lang w:eastAsia="zh-CN"/>
        </w:rPr>
        <w:t>充电设施及设备制造、换电设施及设备制造、</w:t>
      </w:r>
      <w:r>
        <w:rPr>
          <w:rFonts w:hint="eastAsia" w:ascii="宋体" w:hAnsi="宋体" w:eastAsia="宋体" w:cs="宋体"/>
          <w:kern w:val="0"/>
          <w:szCs w:val="20"/>
          <w:lang w:eastAsia="zh-CN"/>
        </w:rPr>
        <w:t>充换电设施运营</w:t>
      </w:r>
      <w:r>
        <w:rPr>
          <w:rFonts w:hint="eastAsia" w:ascii="Times New Roman"/>
          <w:szCs w:val="24"/>
        </w:rPr>
        <w:t>情况符合深圳市</w:t>
      </w:r>
      <w:r>
        <w:rPr>
          <w:rFonts w:hint="eastAsia" w:ascii="Times New Roman"/>
          <w:szCs w:val="24"/>
          <w:lang w:eastAsia="zh-CN"/>
        </w:rPr>
        <w:t>绿色低碳产业</w:t>
      </w:r>
      <w:r>
        <w:rPr>
          <w:rFonts w:hint="eastAsia" w:ascii="Times New Roman"/>
          <w:szCs w:val="24"/>
        </w:rPr>
        <w:t>认定规则体系规定的技术要求。</w:t>
      </w:r>
    </w:p>
    <w:p>
      <w:pPr>
        <w:pStyle w:val="89"/>
        <w:numPr>
          <w:ilvl w:val="1"/>
          <w:numId w:val="0"/>
        </w:numPr>
        <w:spacing w:before="156" w:after="156"/>
        <w:jc w:val="both"/>
        <w:rPr>
          <w:rFonts w:hAnsi="黑体" w:cs="黑体"/>
        </w:rPr>
      </w:pPr>
      <w:r>
        <w:rPr>
          <w:rFonts w:hint="eastAsia" w:hAnsi="黑体" w:cs="黑体"/>
        </w:rPr>
        <w:t>B.4.3 综合评价认定情况</w:t>
      </w:r>
    </w:p>
    <w:p>
      <w:pPr>
        <w:pStyle w:val="89"/>
        <w:numPr>
          <w:ilvl w:val="1"/>
          <w:numId w:val="0"/>
        </w:numPr>
        <w:spacing w:before="156" w:after="156"/>
        <w:jc w:val="both"/>
        <w:rPr>
          <w:rFonts w:ascii="Times New Roman" w:eastAsia="Times New Roman"/>
        </w:rPr>
      </w:pPr>
      <w:r>
        <w:rPr>
          <w:rFonts w:hint="eastAsia" w:hAnsi="黑体" w:cs="黑体"/>
        </w:rPr>
        <w:t>B.4.3.1 技术表现认定情况</w:t>
      </w:r>
    </w:p>
    <w:p>
      <w:pPr>
        <w:pStyle w:val="24"/>
        <w:rPr>
          <w:rFonts w:ascii="Times New Roman" w:eastAsia="Times New Roman"/>
          <w:szCs w:val="24"/>
        </w:rPr>
      </w:pPr>
      <w:r>
        <w:rPr>
          <w:rFonts w:hint="eastAsia" w:ascii="Times New Roman"/>
          <w:szCs w:val="24"/>
        </w:rPr>
        <w:t>先进性。主要描述有效知识产权、参与制修订标准、</w:t>
      </w:r>
      <w:r>
        <w:rPr>
          <w:rFonts w:hint="eastAsia" w:ascii="Times New Roman"/>
          <w:szCs w:val="24"/>
          <w:lang w:eastAsia="zh-CN"/>
        </w:rPr>
        <w:t>绿色电力消费、</w:t>
      </w:r>
      <w:r>
        <w:rPr>
          <w:rFonts w:hint="eastAsia" w:ascii="Times New Roman"/>
          <w:szCs w:val="24"/>
        </w:rPr>
        <w:t>关键技术先进性的情况。</w:t>
      </w:r>
    </w:p>
    <w:p>
      <w:pPr>
        <w:pStyle w:val="24"/>
        <w:rPr>
          <w:rFonts w:ascii="Times New Roman" w:eastAsia="Times New Roman"/>
          <w:szCs w:val="24"/>
        </w:rPr>
      </w:pPr>
      <w:r>
        <w:rPr>
          <w:rFonts w:hint="eastAsia" w:ascii="Times New Roman"/>
          <w:szCs w:val="24"/>
        </w:rPr>
        <w:t>环境效益。主要描述</w:t>
      </w:r>
      <w:r>
        <w:rPr>
          <w:rFonts w:hint="eastAsia" w:ascii="Times New Roman"/>
          <w:szCs w:val="24"/>
          <w:lang w:eastAsia="zh-CN"/>
        </w:rPr>
        <w:t>降碳效益</w:t>
      </w:r>
      <w:r>
        <w:rPr>
          <w:rFonts w:hint="eastAsia" w:ascii="Times New Roman"/>
          <w:szCs w:val="24"/>
        </w:rPr>
        <w:t>、</w:t>
      </w:r>
      <w:r>
        <w:rPr>
          <w:rFonts w:hint="eastAsia" w:ascii="Times New Roman"/>
          <w:szCs w:val="24"/>
          <w:lang w:eastAsia="zh-CN"/>
        </w:rPr>
        <w:t>减污效益</w:t>
      </w:r>
      <w:r>
        <w:rPr>
          <w:rFonts w:hint="eastAsia" w:ascii="Times New Roman"/>
          <w:szCs w:val="24"/>
        </w:rPr>
        <w:t>等情况。</w:t>
      </w:r>
    </w:p>
    <w:p>
      <w:pPr>
        <w:pStyle w:val="89"/>
        <w:numPr>
          <w:ilvl w:val="1"/>
          <w:numId w:val="0"/>
        </w:numPr>
        <w:spacing w:before="156" w:after="156"/>
        <w:jc w:val="both"/>
        <w:rPr>
          <w:rFonts w:hAnsi="黑体" w:cs="黑体"/>
        </w:rPr>
      </w:pPr>
      <w:r>
        <w:rPr>
          <w:rFonts w:hint="eastAsia" w:hAnsi="黑体" w:cs="黑体"/>
        </w:rPr>
        <w:t>B.4.3.2 业务表现认定情况</w:t>
      </w:r>
    </w:p>
    <w:p>
      <w:pPr>
        <w:pStyle w:val="24"/>
        <w:rPr>
          <w:rFonts w:ascii="Times New Roman" w:eastAsia="Times New Roman"/>
          <w:szCs w:val="24"/>
        </w:rPr>
      </w:pPr>
      <w:r>
        <w:rPr>
          <w:rFonts w:hint="eastAsia" w:ascii="Times New Roman"/>
          <w:szCs w:val="24"/>
        </w:rPr>
        <w:t>发展能力。主要描述团队技术实力、研发投入、</w:t>
      </w:r>
      <w:r>
        <w:rPr>
          <w:rFonts w:hint="eastAsia" w:ascii="Times New Roman"/>
          <w:szCs w:val="24"/>
          <w:lang w:eastAsia="zh-CN"/>
        </w:rPr>
        <w:t>业务增长率、净利润率</w:t>
      </w:r>
      <w:r>
        <w:rPr>
          <w:rFonts w:hint="eastAsia" w:ascii="Times New Roman"/>
          <w:szCs w:val="24"/>
        </w:rPr>
        <w:t>等情况。</w:t>
      </w:r>
    </w:p>
    <w:p>
      <w:pPr>
        <w:pStyle w:val="24"/>
        <w:rPr>
          <w:rFonts w:ascii="Times New Roman" w:eastAsia="Times New Roman"/>
          <w:szCs w:val="24"/>
        </w:rPr>
      </w:pPr>
      <w:r>
        <w:rPr>
          <w:rFonts w:hint="eastAsia" w:ascii="Times New Roman"/>
          <w:szCs w:val="24"/>
        </w:rPr>
        <w:t>市场影响。主要描述市场竞争力、产业影响力、行业资质及经验等情况。</w:t>
      </w:r>
    </w:p>
    <w:p>
      <w:pPr>
        <w:pStyle w:val="89"/>
        <w:numPr>
          <w:ilvl w:val="1"/>
          <w:numId w:val="0"/>
        </w:numPr>
        <w:spacing w:before="156" w:after="156"/>
        <w:jc w:val="both"/>
        <w:rPr>
          <w:rFonts w:ascii="Times New Roman" w:eastAsia="Times New Roman"/>
        </w:rPr>
      </w:pPr>
      <w:r>
        <w:rPr>
          <w:rFonts w:hint="eastAsia" w:hAnsi="黑体" w:cs="黑体"/>
        </w:rPr>
        <w:t>B.4.3.3 环境表现认定情况</w:t>
      </w:r>
    </w:p>
    <w:p>
      <w:pPr>
        <w:pStyle w:val="24"/>
        <w:rPr>
          <w:rFonts w:ascii="Times New Roman" w:eastAsia="Times New Roman"/>
          <w:szCs w:val="24"/>
        </w:rPr>
      </w:pPr>
      <w:r>
        <w:rPr>
          <w:rFonts w:hint="eastAsia" w:ascii="Times New Roman"/>
          <w:szCs w:val="24"/>
        </w:rPr>
        <w:t>工艺设备材料。主要描述设备、材料绿色化水平等情况。</w:t>
      </w:r>
    </w:p>
    <w:p>
      <w:pPr>
        <w:pStyle w:val="24"/>
        <w:rPr>
          <w:rFonts w:ascii="Times New Roman" w:eastAsia="Times New Roman"/>
          <w:szCs w:val="24"/>
        </w:rPr>
      </w:pPr>
      <w:r>
        <w:rPr>
          <w:rFonts w:hint="eastAsia" w:ascii="Times New Roman"/>
          <w:szCs w:val="24"/>
        </w:rPr>
        <w:t>能源资源利用。主要描述</w:t>
      </w:r>
      <w:r>
        <w:rPr>
          <w:rFonts w:hint="eastAsia" w:ascii="Times New Roman"/>
          <w:szCs w:val="24"/>
          <w:lang w:val="en-US" w:eastAsia="zh-CN"/>
        </w:rPr>
        <w:t>能耗水平、可再生利用率等</w:t>
      </w:r>
      <w:r>
        <w:rPr>
          <w:rFonts w:hint="eastAsia" w:ascii="Times New Roman"/>
          <w:szCs w:val="24"/>
        </w:rPr>
        <w:t>情况。</w:t>
      </w:r>
    </w:p>
    <w:p>
      <w:pPr>
        <w:pStyle w:val="24"/>
        <w:rPr>
          <w:rFonts w:hint="eastAsia" w:ascii="Times New Roman"/>
          <w:szCs w:val="24"/>
        </w:rPr>
      </w:pPr>
      <w:r>
        <w:rPr>
          <w:rFonts w:hint="eastAsia" w:ascii="Times New Roman"/>
          <w:szCs w:val="24"/>
          <w:lang w:eastAsia="zh-CN"/>
        </w:rPr>
        <w:t>污染物排放水平</w:t>
      </w:r>
      <w:r>
        <w:rPr>
          <w:rFonts w:hint="eastAsia" w:ascii="Times New Roman"/>
          <w:szCs w:val="24"/>
        </w:rPr>
        <w:t>。主要描述污染物排放情况。</w:t>
      </w:r>
    </w:p>
    <w:p>
      <w:pPr>
        <w:pStyle w:val="24"/>
        <w:rPr>
          <w:rFonts w:hint="eastAsia" w:ascii="Times New Roman"/>
          <w:szCs w:val="24"/>
        </w:rPr>
      </w:pPr>
      <w:r>
        <w:rPr>
          <w:rFonts w:hint="eastAsia" w:ascii="Times New Roman"/>
          <w:szCs w:val="24"/>
          <w:lang w:val="en-US" w:eastAsia="zh-CN"/>
        </w:rPr>
        <w:t>温室气体排放水平</w:t>
      </w:r>
      <w:r>
        <w:rPr>
          <w:rFonts w:hint="eastAsia" w:ascii="Times New Roman"/>
          <w:szCs w:val="24"/>
        </w:rPr>
        <w:t>。主要描述温室气体排放情况。</w:t>
      </w:r>
    </w:p>
    <w:p>
      <w:pPr>
        <w:pStyle w:val="89"/>
        <w:numPr>
          <w:ilvl w:val="1"/>
          <w:numId w:val="0"/>
        </w:numPr>
        <w:spacing w:before="156" w:after="156"/>
        <w:jc w:val="both"/>
        <w:rPr>
          <w:rFonts w:ascii="Times New Roman" w:eastAsia="Times New Roman"/>
        </w:rPr>
      </w:pPr>
      <w:r>
        <w:rPr>
          <w:rFonts w:hint="eastAsia" w:hAnsi="黑体" w:cs="黑体"/>
        </w:rPr>
        <w:t>B.4.3.4 社会表现认定情况</w:t>
      </w:r>
    </w:p>
    <w:p>
      <w:pPr>
        <w:pStyle w:val="24"/>
        <w:rPr>
          <w:rFonts w:ascii="Times New Roman" w:eastAsia="Times New Roman"/>
          <w:szCs w:val="24"/>
        </w:rPr>
      </w:pPr>
      <w:r>
        <w:rPr>
          <w:rFonts w:hint="eastAsia" w:ascii="Times New Roman"/>
          <w:szCs w:val="24"/>
        </w:rPr>
        <w:t>内部行动。主要描述</w:t>
      </w:r>
      <w:r>
        <w:rPr>
          <w:rFonts w:hint="eastAsia" w:ascii="Times New Roman"/>
          <w:szCs w:val="24"/>
          <w:lang w:eastAsia="zh-CN"/>
        </w:rPr>
        <w:t>绿色发展行动</w:t>
      </w:r>
      <w:r>
        <w:rPr>
          <w:rFonts w:hint="eastAsia" w:ascii="Times New Roman"/>
          <w:szCs w:val="24"/>
        </w:rPr>
        <w:t>、信息披露</w:t>
      </w:r>
      <w:r>
        <w:rPr>
          <w:rFonts w:hint="eastAsia" w:ascii="Times New Roman"/>
          <w:szCs w:val="24"/>
          <w:lang w:eastAsia="zh-CN"/>
        </w:rPr>
        <w:t>及绿色低碳意识培训情况</w:t>
      </w:r>
      <w:r>
        <w:rPr>
          <w:rFonts w:hint="eastAsia" w:ascii="Times New Roman"/>
          <w:szCs w:val="24"/>
        </w:rPr>
        <w:t>等信息。</w:t>
      </w:r>
    </w:p>
    <w:p>
      <w:pPr>
        <w:pStyle w:val="24"/>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89"/>
        <w:numPr>
          <w:ilvl w:val="1"/>
          <w:numId w:val="0"/>
        </w:numPr>
        <w:spacing w:before="156" w:after="156"/>
        <w:jc w:val="both"/>
        <w:rPr>
          <w:rFonts w:hAnsi="黑体" w:cs="黑体"/>
        </w:rPr>
      </w:pPr>
      <w:r>
        <w:rPr>
          <w:rFonts w:hint="eastAsia" w:hAnsi="黑体" w:cs="黑体"/>
        </w:rPr>
        <w:t>B.5 评分表</w:t>
      </w:r>
    </w:p>
    <w:p>
      <w:pPr>
        <w:pStyle w:val="24"/>
        <w:rPr>
          <w:rFonts w:hAnsi="宋体"/>
          <w:szCs w:val="24"/>
        </w:rPr>
      </w:pPr>
      <w:r>
        <w:rPr>
          <w:rFonts w:hint="eastAsia" w:hAnsi="宋体"/>
          <w:szCs w:val="24"/>
        </w:rPr>
        <w:t>企事业单位评分表见表B.3、表B.4和表B.5。</w:t>
      </w:r>
    </w:p>
    <w:p>
      <w:pPr>
        <w:pStyle w:val="89"/>
        <w:numPr>
          <w:ilvl w:val="1"/>
          <w:numId w:val="0"/>
        </w:numPr>
        <w:spacing w:before="156" w:after="156"/>
        <w:rPr>
          <w:rFonts w:hAnsi="黑体" w:cs="黑体"/>
        </w:rPr>
      </w:pPr>
      <w:r>
        <w:rPr>
          <w:rFonts w:hint="eastAsia" w:hAnsi="黑体" w:cs="黑体"/>
        </w:rPr>
        <w:t>表B.3 基本要求评分表</w:t>
      </w:r>
    </w:p>
    <w:tbl>
      <w:tblPr>
        <w:tblStyle w:val="34"/>
        <w:tblW w:w="956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7"/>
        <w:gridCol w:w="3980"/>
        <w:gridCol w:w="1689"/>
        <w:gridCol w:w="1689"/>
        <w:gridCol w:w="15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65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3980"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1689" w:type="dxa"/>
            <w:tcBorders>
              <w:bottom w:val="single" w:color="auto" w:sz="8" w:space="0"/>
            </w:tcBorders>
            <w:vAlign w:val="center"/>
          </w:tcPr>
          <w:p>
            <w:pPr>
              <w:spacing w:line="280" w:lineRule="exact"/>
              <w:jc w:val="center"/>
              <w:rPr>
                <w:rFonts w:hint="eastAsia" w:eastAsia="宋体"/>
                <w:b/>
                <w:sz w:val="18"/>
                <w:szCs w:val="18"/>
                <w:lang w:eastAsia="zh-CN"/>
              </w:rPr>
            </w:pPr>
            <w:r>
              <w:rPr>
                <w:rFonts w:hint="eastAsia"/>
                <w:b/>
                <w:sz w:val="18"/>
                <w:szCs w:val="18"/>
                <w:lang w:eastAsia="zh-CN"/>
              </w:rPr>
              <w:t>评分依据</w:t>
            </w:r>
          </w:p>
        </w:tc>
        <w:tc>
          <w:tcPr>
            <w:tcW w:w="1689"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51"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65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3980" w:type="dxa"/>
            <w:tcBorders>
              <w:top w:val="single" w:color="auto" w:sz="8" w:space="0"/>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1689" w:type="dxa"/>
            <w:tcBorders>
              <w:top w:val="single" w:color="auto" w:sz="8" w:space="0"/>
              <w:tl2br w:val="nil"/>
              <w:tr2bl w:val="nil"/>
            </w:tcBorders>
            <w:vAlign w:val="center"/>
          </w:tcPr>
          <w:p>
            <w:pPr>
              <w:widowControl/>
              <w:rPr>
                <w:sz w:val="18"/>
                <w:szCs w:val="18"/>
              </w:rPr>
            </w:pPr>
            <w:r>
              <w:rPr>
                <w:rFonts w:hint="eastAsia" w:cs="宋体" w:asciiTheme="minorEastAsia" w:hAnsiTheme="minorEastAsia" w:eastAsiaTheme="minorEastAsia"/>
                <w:sz w:val="18"/>
                <w:szCs w:val="18"/>
              </w:rPr>
              <w:t>营业执照或事业单位法人证书。</w:t>
            </w:r>
          </w:p>
        </w:tc>
        <w:tc>
          <w:tcPr>
            <w:tcW w:w="1689" w:type="dxa"/>
            <w:tcBorders>
              <w:top w:val="single" w:color="auto" w:sz="8" w:space="0"/>
              <w:tl2br w:val="nil"/>
              <w:tr2bl w:val="nil"/>
            </w:tcBorders>
            <w:vAlign w:val="center"/>
          </w:tcPr>
          <w:p>
            <w:pPr>
              <w:spacing w:line="280" w:lineRule="exact"/>
              <w:jc w:val="center"/>
              <w:rPr>
                <w:sz w:val="18"/>
                <w:szCs w:val="18"/>
              </w:rPr>
            </w:pPr>
          </w:p>
        </w:tc>
        <w:tc>
          <w:tcPr>
            <w:tcW w:w="1551"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65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398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1689" w:type="dxa"/>
            <w:tcBorders>
              <w:tl2br w:val="nil"/>
              <w:tr2bl w:val="nil"/>
            </w:tcBorders>
            <w:vAlign w:val="center"/>
          </w:tcPr>
          <w:p>
            <w:pPr>
              <w:widowControl/>
              <w:rPr>
                <w:sz w:val="18"/>
                <w:szCs w:val="18"/>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689" w:type="dxa"/>
            <w:tcBorders>
              <w:tl2br w:val="nil"/>
              <w:tr2bl w:val="nil"/>
            </w:tcBorders>
            <w:vAlign w:val="center"/>
          </w:tcPr>
          <w:p>
            <w:pPr>
              <w:spacing w:line="440" w:lineRule="exact"/>
              <w:jc w:val="center"/>
              <w:rPr>
                <w:sz w:val="18"/>
                <w:szCs w:val="18"/>
              </w:rPr>
            </w:pPr>
          </w:p>
        </w:tc>
        <w:tc>
          <w:tcPr>
            <w:tcW w:w="1551"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5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398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1689" w:type="dxa"/>
            <w:tcBorders>
              <w:tl2br w:val="nil"/>
              <w:tr2bl w:val="nil"/>
            </w:tcBorders>
            <w:vAlign w:val="center"/>
          </w:tcPr>
          <w:p>
            <w:pPr>
              <w:widowControl/>
              <w:rPr>
                <w:sz w:val="18"/>
                <w:szCs w:val="18"/>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689" w:type="dxa"/>
            <w:tcBorders>
              <w:tl2br w:val="nil"/>
              <w:tr2bl w:val="nil"/>
            </w:tcBorders>
            <w:vAlign w:val="center"/>
          </w:tcPr>
          <w:p>
            <w:pPr>
              <w:spacing w:line="440" w:lineRule="exact"/>
              <w:jc w:val="center"/>
              <w:rPr>
                <w:sz w:val="18"/>
                <w:szCs w:val="18"/>
              </w:rPr>
            </w:pPr>
          </w:p>
        </w:tc>
        <w:tc>
          <w:tcPr>
            <w:tcW w:w="1551"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65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3980"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r>
              <w:rPr>
                <w:rFonts w:hint="eastAsia" w:cs="宋体" w:asciiTheme="minorEastAsia" w:hAnsiTheme="minorEastAsia" w:eastAsiaTheme="minorEastAsia"/>
                <w:color w:val="000000"/>
                <w:kern w:val="0"/>
                <w:sz w:val="18"/>
                <w:szCs w:val="18"/>
                <w:lang w:eastAsia="zh-CN"/>
              </w:rPr>
              <w:t>。</w:t>
            </w:r>
          </w:p>
        </w:tc>
        <w:tc>
          <w:tcPr>
            <w:tcW w:w="1689" w:type="dxa"/>
            <w:tcBorders>
              <w:tl2br w:val="nil"/>
              <w:tr2bl w:val="nil"/>
            </w:tcBorders>
            <w:vAlign w:val="center"/>
          </w:tcPr>
          <w:p>
            <w:pPr>
              <w:widowControl/>
              <w:rPr>
                <w:sz w:val="18"/>
                <w:szCs w:val="18"/>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689" w:type="dxa"/>
            <w:tcBorders>
              <w:tl2br w:val="nil"/>
              <w:tr2bl w:val="nil"/>
            </w:tcBorders>
            <w:vAlign w:val="center"/>
          </w:tcPr>
          <w:p>
            <w:pPr>
              <w:spacing w:line="440" w:lineRule="exact"/>
              <w:jc w:val="center"/>
              <w:rPr>
                <w:sz w:val="18"/>
                <w:szCs w:val="18"/>
              </w:rPr>
            </w:pPr>
          </w:p>
        </w:tc>
        <w:tc>
          <w:tcPr>
            <w:tcW w:w="1551"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ascii="Times New Roman" w:eastAsia="Times New Roman"/>
        </w:rPr>
      </w:pPr>
      <w:r>
        <w:rPr>
          <w:rFonts w:hint="eastAsia" w:hAnsi="黑体" w:cs="黑体"/>
        </w:rPr>
        <w:t>表B.4 符合性指标评分表</w:t>
      </w:r>
    </w:p>
    <w:tbl>
      <w:tblPr>
        <w:tblStyle w:val="34"/>
        <w:tblW w:w="9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082"/>
        <w:gridCol w:w="4800"/>
        <w:gridCol w:w="1037"/>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14"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jc w:val="left"/>
              <w:rPr>
                <w:rFonts w:hint="eastAsia" w:eastAsia="宋体"/>
                <w:kern w:val="0"/>
                <w:sz w:val="18"/>
                <w:szCs w:val="18"/>
                <w:lang w:eastAsia="zh-CN"/>
              </w:rPr>
            </w:pPr>
            <w:r>
              <w:rPr>
                <w:rFonts w:hint="eastAsia"/>
                <w:sz w:val="18"/>
                <w:szCs w:val="18"/>
              </w:rPr>
              <w:t>申报认定评价的主营业务应属于充电设施及设备制造、换电设施及设备制造、充换电设施运营等</w:t>
            </w:r>
            <w:r>
              <w:rPr>
                <w:rFonts w:hint="eastAsia"/>
                <w:sz w:val="18"/>
                <w:szCs w:val="18"/>
                <w:lang w:eastAsia="zh-CN"/>
              </w:rPr>
              <w:t>充电、换电设施设备制造与运营</w:t>
            </w:r>
            <w:r>
              <w:rPr>
                <w:rFonts w:hint="eastAsia"/>
                <w:sz w:val="18"/>
                <w:szCs w:val="18"/>
              </w:rPr>
              <w:t>产业</w:t>
            </w:r>
            <w:r>
              <w:rPr>
                <w:rFonts w:hint="eastAsia"/>
                <w:sz w:val="18"/>
                <w:szCs w:val="18"/>
                <w:lang w:eastAsia="zh-CN"/>
              </w:rPr>
              <w:t>，</w:t>
            </w:r>
            <w:r>
              <w:rPr>
                <w:rFonts w:hint="eastAsia" w:ascii="Times New Roman" w:hAnsi="Times New Roman" w:eastAsia="宋体"/>
                <w:color w:val="auto"/>
                <w:kern w:val="2"/>
                <w:sz w:val="18"/>
                <w:szCs w:val="18"/>
                <w:highlight w:val="none"/>
              </w:rPr>
              <w:t>且其绿色业务占比达到50%或以上，或跨界规模达到1亿元、</w:t>
            </w:r>
            <w:r>
              <w:rPr>
                <w:rFonts w:hint="eastAsia"/>
                <w:color w:val="auto"/>
                <w:kern w:val="2"/>
                <w:sz w:val="18"/>
                <w:szCs w:val="18"/>
                <w:highlight w:val="none"/>
              </w:rPr>
              <w:t>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514"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提供的产品或服务应符合国家、广东省及深圳市相关主管部门发布的法律法规和政策标准要求，相关充电设施及设备制造、换电设施及设备制造、充换电设施运营情况符合深圳市</w:t>
            </w:r>
            <w:r>
              <w:rPr>
                <w:rFonts w:hint="eastAsia"/>
                <w:sz w:val="18"/>
                <w:szCs w:val="18"/>
                <w:lang w:eastAsia="zh-CN"/>
              </w:rPr>
              <w:t>绿色低碳产业</w:t>
            </w:r>
            <w:r>
              <w:rPr>
                <w:rFonts w:hint="eastAsia"/>
                <w:sz w:val="18"/>
                <w:szCs w:val="18"/>
              </w:rPr>
              <w:t>认定规则体系规定的技术要求。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514"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hint="eastAsia" w:hAnsi="黑体"/>
        </w:rPr>
      </w:pPr>
      <w:r>
        <w:rPr>
          <w:rFonts w:hint="eastAsia" w:hAnsi="黑体"/>
        </w:rPr>
        <w:t xml:space="preserve">表B.5 </w:t>
      </w:r>
      <w:r>
        <w:rPr>
          <w:rFonts w:hint="eastAsia" w:hAnsi="黑体"/>
          <w:color w:val="auto"/>
        </w:rPr>
        <w:t>综合评价</w:t>
      </w:r>
      <w:r>
        <w:rPr>
          <w:rFonts w:hint="eastAsia" w:ascii="Times New Roman"/>
          <w:color w:val="auto"/>
        </w:rPr>
        <w:t>指标评分表</w:t>
      </w:r>
    </w:p>
    <w:tbl>
      <w:tblPr>
        <w:tblStyle w:val="35"/>
        <w:tblpPr w:leftFromText="180" w:rightFromText="180" w:vertAnchor="text" w:tblpXSpec="center" w:tblpY="1"/>
        <w:tblOverlap w:val="never"/>
        <w:tblW w:w="9131" w:type="dxa"/>
        <w:tblInd w:w="-8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751"/>
        <w:gridCol w:w="1867"/>
        <w:gridCol w:w="978"/>
        <w:gridCol w:w="978"/>
        <w:gridCol w:w="978"/>
        <w:gridCol w:w="978"/>
        <w:gridCol w:w="978"/>
        <w:gridCol w:w="9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一级指标</w:t>
            </w:r>
          </w:p>
        </w:tc>
        <w:tc>
          <w:tcPr>
            <w:tcW w:w="751"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二级指标</w:t>
            </w:r>
          </w:p>
        </w:tc>
        <w:tc>
          <w:tcPr>
            <w:tcW w:w="1867"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三级指标</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default" w:ascii="宋体" w:eastAsia="宋体"/>
                <w:b/>
                <w:color w:val="auto"/>
                <w:sz w:val="18"/>
                <w:szCs w:val="18"/>
                <w:lang w:val="en-US" w:eastAsia="zh-CN"/>
              </w:rPr>
            </w:pPr>
            <w:r>
              <w:rPr>
                <w:rFonts w:hint="default"/>
                <w:b/>
                <w:color w:val="auto"/>
                <w:kern w:val="0"/>
                <w:sz w:val="18"/>
                <w:szCs w:val="18"/>
                <w:lang w:val="en-US" w:eastAsia="zh-CN"/>
              </w:rPr>
              <w:t>参考标准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标准参考值/要求</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自评值/要求</w:t>
            </w:r>
          </w:p>
        </w:tc>
        <w:tc>
          <w:tcPr>
            <w:tcW w:w="978"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分值</w:t>
            </w:r>
            <w:r>
              <w:rPr>
                <w:rFonts w:hint="eastAsia" w:ascii="宋体"/>
                <w:b/>
                <w:color w:val="auto"/>
                <w:sz w:val="18"/>
                <w:szCs w:val="18"/>
              </w:rPr>
              <w:t>（分）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lang w:val="en-US" w:eastAsia="zh-CN"/>
              </w:rPr>
              <w:t>自评得分</w:t>
            </w:r>
          </w:p>
        </w:tc>
        <w:tc>
          <w:tcPr>
            <w:tcW w:w="983"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0"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技术表现</w:t>
            </w:r>
          </w:p>
        </w:tc>
        <w:tc>
          <w:tcPr>
            <w:tcW w:w="751"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先进性</w:t>
            </w:r>
          </w:p>
        </w:tc>
        <w:tc>
          <w:tcPr>
            <w:tcW w:w="1867" w:type="dxa"/>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有效知识产权</w:t>
            </w: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5</w:t>
            </w: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op w:val="single" w:color="auto" w:sz="8" w:space="0"/>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参与制修订标准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hAnsi="宋体" w:eastAsia="宋体" w:cs="宋体"/>
                <w:color w:val="auto"/>
                <w:sz w:val="18"/>
                <w:szCs w:val="18"/>
                <w:lang w:eastAsia="zh-CN"/>
              </w:rPr>
            </w:pPr>
            <w:r>
              <w:rPr>
                <w:rFonts w:hint="eastAsia" w:ascii="宋体" w:hAnsi="宋体" w:cs="宋体"/>
                <w:color w:val="auto"/>
                <w:sz w:val="18"/>
                <w:szCs w:val="18"/>
                <w:lang w:eastAsia="zh-CN"/>
              </w:rPr>
              <w:t>绿色电力消费</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color w:val="auto"/>
                <w:sz w:val="18"/>
                <w:szCs w:val="18"/>
                <w:lang w:val="en-US" w:eastAsia="zh-CN"/>
              </w:rPr>
            </w:pPr>
            <w:r>
              <w:rPr>
                <w:rFonts w:hint="eastAsia" w:ascii="宋体"/>
                <w:color w:val="auto"/>
                <w:sz w:val="18"/>
                <w:szCs w:val="18"/>
                <w:lang w:val="en-US" w:eastAsia="zh-CN"/>
              </w:rPr>
              <w:t>关键</w:t>
            </w:r>
            <w:r>
              <w:rPr>
                <w:rFonts w:hint="eastAsia" w:ascii="宋体"/>
                <w:color w:val="auto"/>
                <w:sz w:val="18"/>
                <w:szCs w:val="18"/>
              </w:rPr>
              <w:t>技术先进</w:t>
            </w:r>
            <w:r>
              <w:rPr>
                <w:rFonts w:hint="eastAsia" w:ascii="宋体"/>
                <w:color w:val="auto"/>
                <w:sz w:val="18"/>
                <w:szCs w:val="18"/>
                <w:lang w:val="en-US" w:eastAsia="zh-CN"/>
              </w:rPr>
              <w:t>性</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10</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环境效益</w:t>
            </w:r>
          </w:p>
        </w:tc>
        <w:tc>
          <w:tcPr>
            <w:tcW w:w="1867" w:type="dxa"/>
            <w:tcBorders>
              <w:tl2br w:val="nil"/>
              <w:tr2bl w:val="nil"/>
            </w:tcBorders>
            <w:vAlign w:val="center"/>
          </w:tcPr>
          <w:p>
            <w:pPr>
              <w:autoSpaceDE w:val="0"/>
              <w:autoSpaceDN w:val="0"/>
              <w:jc w:val="center"/>
              <w:rPr>
                <w:rFonts w:hint="eastAsia" w:ascii="宋体" w:hAnsi="宋体" w:cs="宋体"/>
                <w:color w:val="auto"/>
                <w:sz w:val="18"/>
                <w:szCs w:val="18"/>
                <w:lang w:val="en-US" w:eastAsia="zh-CN"/>
              </w:rPr>
            </w:pPr>
            <w:r>
              <w:rPr>
                <w:rFonts w:hint="eastAsia" w:ascii="宋体" w:hAnsi="宋体" w:cs="宋体"/>
                <w:color w:val="auto"/>
                <w:sz w:val="18"/>
                <w:szCs w:val="18"/>
                <w:lang w:val="en-US" w:eastAsia="zh-CN"/>
              </w:rPr>
              <w:t>降碳效益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10</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减污效益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业务表现</w:t>
            </w: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发展能力</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团队技术实力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6</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研发投入</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8</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业务增长率</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市场影响</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市场竞争力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9</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产业影响力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行业资质荣誉</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设备材料</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能源资源利用</w:t>
            </w: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能耗</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hint="eastAsia"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可再生利用率</w:t>
            </w: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污染物排放水平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温室气体排放水平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lang w:val="en-US" w:eastAsia="zh-CN"/>
              </w:rPr>
            </w:pPr>
            <w:r>
              <w:rPr>
                <w:rFonts w:hint="eastAsia" w:ascii="宋体" w:hAnsi="宋体" w:cs="宋体"/>
                <w:i w:val="0"/>
                <w:iCs w:val="0"/>
                <w:color w:val="auto"/>
                <w:kern w:val="0"/>
                <w:sz w:val="18"/>
                <w:szCs w:val="18"/>
                <w:u w:val="none"/>
                <w:lang w:val="en-US" w:eastAsia="zh-CN" w:bidi="ar"/>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内部行动</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社会责任</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258" w:type="dxa"/>
            <w:gridSpan w:val="3"/>
            <w:tcBorders>
              <w:tl2br w:val="nil"/>
              <w:tr2bl w:val="nil"/>
            </w:tcBorders>
            <w:vAlign w:val="center"/>
          </w:tcPr>
          <w:p>
            <w:pPr>
              <w:autoSpaceDE w:val="0"/>
              <w:autoSpaceDN w:val="0"/>
              <w:jc w:val="center"/>
              <w:rPr>
                <w:rFonts w:hint="eastAsia" w:ascii="宋体" w:hAnsi="宋体" w:cs="宋体"/>
                <w:color w:val="auto"/>
                <w:sz w:val="18"/>
                <w:szCs w:val="18"/>
              </w:rPr>
            </w:pPr>
            <w:r>
              <w:rPr>
                <w:rFonts w:hint="eastAsia"/>
                <w:b/>
                <w:color w:val="auto"/>
                <w:kern w:val="0"/>
                <w:sz w:val="18"/>
                <w:szCs w:val="18"/>
              </w:rPr>
              <w:t>总得分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p>
        </w:tc>
      </w:tr>
    </w:tbl>
    <w:p>
      <w:pPr>
        <w:numPr>
          <w:ilvl w:val="1"/>
          <w:numId w:val="0"/>
        </w:numPr>
        <w:spacing w:before="157" w:beforeLines="50" w:after="157" w:afterLines="50"/>
        <w:jc w:val="center"/>
        <w:rPr>
          <w:rFonts w:hint="eastAsia" w:ascii="黑体" w:hAnsi="黑体" w:eastAsia="黑体"/>
          <w:szCs w:val="21"/>
        </w:rPr>
      </w:pPr>
      <w:r>
        <w:rPr>
          <w:rFonts w:hint="eastAsia" w:ascii="黑体" w:hAnsi="黑体" w:eastAsia="黑体"/>
          <w:szCs w:val="21"/>
        </w:rPr>
        <w:t>表B.</w:t>
      </w:r>
      <w:r>
        <w:rPr>
          <w:rFonts w:hint="eastAsia" w:ascii="黑体" w:hAnsi="黑体" w:eastAsia="黑体"/>
          <w:szCs w:val="21"/>
          <w:lang w:val="en-US" w:eastAsia="zh-CN"/>
        </w:rPr>
        <w:t>6</w:t>
      </w:r>
      <w:r>
        <w:rPr>
          <w:rFonts w:hint="eastAsia" w:ascii="黑体" w:hAnsi="黑体" w:eastAsia="黑体"/>
          <w:szCs w:val="21"/>
          <w:lang w:eastAsia="zh-CN"/>
        </w:rPr>
        <w:t>技术先进性</w:t>
      </w:r>
      <w:r>
        <w:rPr>
          <w:rFonts w:hint="eastAsia" w:ascii="黑体" w:hAnsi="黑体" w:eastAsia="黑体"/>
          <w:szCs w:val="21"/>
        </w:rPr>
        <w:t>指标评分表</w:t>
      </w:r>
    </w:p>
    <w:tbl>
      <w:tblPr>
        <w:tblStyle w:val="34"/>
        <w:tblW w:w="988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644"/>
        <w:gridCol w:w="663"/>
        <w:gridCol w:w="1162"/>
        <w:gridCol w:w="2098"/>
        <w:gridCol w:w="663"/>
        <w:gridCol w:w="1202"/>
        <w:gridCol w:w="912"/>
        <w:gridCol w:w="850"/>
        <w:gridCol w:w="671"/>
        <w:gridCol w:w="101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kern w:val="0"/>
                <w:sz w:val="18"/>
                <w:szCs w:val="18"/>
                <w:lang w:eastAsia="zh-CN"/>
              </w:rPr>
            </w:pPr>
            <w:r>
              <w:rPr>
                <w:rFonts w:hint="eastAsia"/>
                <w:b/>
                <w:kern w:val="0"/>
                <w:sz w:val="18"/>
                <w:szCs w:val="18"/>
                <w:lang w:eastAsia="zh-CN"/>
              </w:rPr>
              <w:t>评价方向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default"/>
                <w:b/>
                <w:kern w:val="0"/>
                <w:sz w:val="18"/>
                <w:szCs w:val="18"/>
                <w:lang w:val="en-US" w:eastAsia="zh-CN"/>
              </w:rPr>
              <w:t>参考标准</w:t>
            </w: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标准参考值/要求</w:t>
            </w: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lang w:val="en-US" w:eastAsia="zh-CN"/>
              </w:rPr>
              <w:t>自评值/要求</w:t>
            </w: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分值</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自评得分</w:t>
            </w: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lang w:val="en-US" w:eastAsia="zh-CN"/>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技术表现</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先进性</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核心技术先进水平</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企业参评的充电设施及设备制造、换电设施及设备制造、充换电设施运营等本标准规定的方向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default" w:eastAsia="宋体"/>
                <w:b w:val="0"/>
                <w:bCs/>
                <w:kern w:val="0"/>
                <w:sz w:val="18"/>
                <w:szCs w:val="18"/>
                <w:lang w:val="en-US" w:eastAsia="zh-CN"/>
              </w:rPr>
            </w:pPr>
            <w:r>
              <w:rPr>
                <w:rFonts w:hint="eastAsia"/>
                <w:b w:val="0"/>
                <w:bCs/>
                <w:kern w:val="0"/>
                <w:sz w:val="18"/>
                <w:szCs w:val="18"/>
                <w:lang w:val="en-US" w:eastAsia="zh-CN"/>
              </w:rPr>
              <w:t>10</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r>
              <w:rPr>
                <w:rFonts w:hint="eastAsia" w:ascii="宋体" w:hAnsi="宋体" w:cs="宋体"/>
                <w:bCs/>
                <w:kern w:val="0"/>
                <w:sz w:val="18"/>
                <w:szCs w:val="18"/>
              </w:rPr>
              <w:t>见 P  页</w:t>
            </w:r>
          </w:p>
        </w:tc>
      </w:tr>
    </w:tbl>
    <w:p>
      <w:pPr>
        <w:pStyle w:val="89"/>
        <w:numPr>
          <w:ilvl w:val="1"/>
          <w:numId w:val="0"/>
        </w:numPr>
        <w:spacing w:before="156" w:after="156"/>
        <w:jc w:val="both"/>
        <w:rPr>
          <w:rFonts w:hAnsi="黑体" w:cs="黑体"/>
        </w:rPr>
      </w:pPr>
      <w:r>
        <w:rPr>
          <w:rFonts w:hint="eastAsia" w:hAnsi="黑体" w:cs="黑体"/>
        </w:rPr>
        <w:t>B.6 评价结论</w:t>
      </w:r>
    </w:p>
    <w:p>
      <w:pPr>
        <w:pStyle w:val="24"/>
        <w:rPr>
          <w:rFonts w:ascii="Times New Roman" w:eastAsia="Times New Roman"/>
          <w:szCs w:val="24"/>
        </w:rPr>
      </w:pPr>
      <w:r>
        <w:rPr>
          <w:rFonts w:hint="eastAsia" w:ascii="Times New Roman"/>
          <w:szCs w:val="24"/>
        </w:rPr>
        <w:t>说明依据本文件实施</w:t>
      </w:r>
      <w:r>
        <w:rPr>
          <w:rFonts w:hint="eastAsia" w:ascii="Times New Roman"/>
          <w:szCs w:val="24"/>
          <w:lang w:eastAsia="zh-CN"/>
        </w:rPr>
        <w:t>绿色低碳产业</w:t>
      </w:r>
      <w:r>
        <w:rPr>
          <w:rFonts w:hint="eastAsia" w:ascii="Times New Roman"/>
          <w:szCs w:val="24"/>
        </w:rPr>
        <w:t>认定评价后的总得分情况以及后续值得关注的可能影响环境风险控制和</w:t>
      </w:r>
      <w:r>
        <w:rPr>
          <w:rFonts w:hint="eastAsia" w:ascii="Times New Roman"/>
          <w:szCs w:val="24"/>
          <w:lang w:eastAsia="zh-CN"/>
        </w:rPr>
        <w:t>充电、换电设施设备制造与运营</w:t>
      </w:r>
      <w:r>
        <w:rPr>
          <w:rFonts w:hint="eastAsia" w:ascii="Times New Roman"/>
          <w:szCs w:val="24"/>
        </w:rPr>
        <w:t>绿色业务发展的重大影响因素。</w:t>
      </w:r>
    </w:p>
    <w:p>
      <w:pPr>
        <w:pStyle w:val="89"/>
        <w:numPr>
          <w:ilvl w:val="1"/>
          <w:numId w:val="0"/>
        </w:numPr>
        <w:spacing w:before="156" w:after="156"/>
        <w:jc w:val="both"/>
        <w:rPr>
          <w:rFonts w:hAnsi="黑体" w:cs="黑体"/>
        </w:rPr>
      </w:pPr>
      <w:r>
        <w:rPr>
          <w:rFonts w:hint="eastAsia" w:hAnsi="黑体" w:cs="黑体"/>
        </w:rPr>
        <w:t>B.7 附录</w:t>
      </w:r>
    </w:p>
    <w:p>
      <w:pPr>
        <w:pStyle w:val="24"/>
        <w:rPr>
          <w:rFonts w:hint="eastAsia"/>
          <w:szCs w:val="24"/>
        </w:rPr>
      </w:pPr>
      <w:r>
        <w:rPr>
          <w:rFonts w:hint="eastAsia"/>
          <w:szCs w:val="24"/>
        </w:rPr>
        <w:t>列明上述章节所述情况及评分表涉及的佐证材料。</w:t>
      </w: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86"/>
        <w:rPr>
          <w:rFonts w:hint="eastAsia"/>
        </w:rPr>
      </w:pPr>
      <w:bookmarkStart w:id="145" w:name="_Toc14998"/>
      <w:bookmarkEnd w:id="145"/>
    </w:p>
    <w:p>
      <w:pPr>
        <w:jc w:val="center"/>
        <w:rPr>
          <w:rFonts w:hint="eastAsia" w:ascii="黑体" w:hAnsi="黑体" w:eastAsia="黑体" w:cs="黑体"/>
        </w:rPr>
      </w:pPr>
      <w:r>
        <w:rPr>
          <w:rFonts w:hint="eastAsia" w:ascii="黑体" w:hAnsi="黑体" w:eastAsia="黑体" w:cs="黑体"/>
          <w:lang w:eastAsia="zh-CN"/>
        </w:rPr>
        <w:t>（资料性）</w:t>
      </w:r>
    </w:p>
    <w:p>
      <w:pPr>
        <w:jc w:val="center"/>
        <w:rPr>
          <w:rFonts w:hint="eastAsia"/>
          <w:szCs w:val="24"/>
        </w:rPr>
      </w:pPr>
      <w:r>
        <w:rPr>
          <w:rFonts w:hint="eastAsia" w:ascii="黑体" w:hAnsi="黑体" w:eastAsia="黑体" w:cs="黑体"/>
          <w:szCs w:val="21"/>
          <w:lang w:eastAsia="zh-CN"/>
        </w:rPr>
        <w:t>充电、换电设施设备制造与运营</w:t>
      </w:r>
      <w:r>
        <w:rPr>
          <w:rFonts w:hint="eastAsia" w:ascii="黑体" w:hAnsi="黑体" w:eastAsia="黑体" w:cs="黑体"/>
        </w:rPr>
        <w:t>行业</w:t>
      </w:r>
      <w:r>
        <w:rPr>
          <w:rFonts w:hint="eastAsia" w:ascii="黑体" w:hAnsi="黑体" w:eastAsia="黑体" w:cs="黑体"/>
          <w:lang w:eastAsia="zh-CN"/>
        </w:rPr>
        <w:t>绿色低碳产业项目</w:t>
      </w:r>
      <w:r>
        <w:rPr>
          <w:rFonts w:hint="eastAsia" w:ascii="黑体" w:hAnsi="黑体" w:eastAsia="黑体" w:cs="黑体"/>
        </w:rPr>
        <w:t>认定评价报告模板</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szCs w:val="24"/>
          <w:lang w:val="en-US" w:eastAsia="zh-CN"/>
        </w:rPr>
        <w:t>C</w:t>
      </w:r>
      <w:r>
        <w:rPr>
          <w:rFonts w:hint="eastAsia" w:ascii="黑体" w:hAnsi="黑体" w:eastAsia="黑体" w:cs="黑体"/>
          <w:kern w:val="2"/>
          <w:sz w:val="21"/>
          <w:szCs w:val="21"/>
          <w:lang w:val="en-US" w:eastAsia="zh-CN" w:bidi="ar-SA"/>
        </w:rPr>
        <w:t>.1  封面</w:t>
      </w:r>
    </w:p>
    <w:p>
      <w:pPr>
        <w:pStyle w:val="24"/>
        <w:rPr>
          <w:rFonts w:ascii="Times New Roman"/>
        </w:rPr>
      </w:pPr>
      <w:r>
        <w:rPr>
          <w:rFonts w:hint="eastAsia" w:ascii="黑体" w:hAnsi="黑体" w:eastAsia="黑体" w:cs="黑体"/>
          <w:szCs w:val="21"/>
          <w:lang w:eastAsia="zh-CN"/>
        </w:rPr>
        <w:t>充电、换电设施设备制造与运营</w:t>
      </w:r>
      <w:r>
        <w:rPr>
          <w:rFonts w:hint="eastAsia" w:ascii="Times New Roman"/>
        </w:rPr>
        <w:t>行业</w:t>
      </w:r>
      <w:r>
        <w:rPr>
          <w:rFonts w:hint="eastAsia" w:ascii="Times New Roman"/>
          <w:lang w:eastAsia="zh-CN"/>
        </w:rPr>
        <w:t>绿色低碳产业项目</w:t>
      </w:r>
      <w:r>
        <w:rPr>
          <w:rFonts w:ascii="Times New Roman"/>
        </w:rPr>
        <w:t>认定评价报告的封面要求见</w:t>
      </w:r>
      <w:r>
        <w:rPr>
          <w:rFonts w:hint="eastAsia" w:hAnsi="宋体" w:cs="宋体"/>
        </w:rPr>
        <w:t>表</w:t>
      </w:r>
      <w:r>
        <w:rPr>
          <w:rFonts w:hint="eastAsia" w:hAnsi="宋体" w:cs="宋体"/>
          <w:lang w:val="en-US" w:eastAsia="zh-CN"/>
        </w:rPr>
        <w:t>C</w:t>
      </w:r>
      <w:r>
        <w:rPr>
          <w:rFonts w:hint="eastAsia" w:hAnsi="宋体" w:cs="宋体"/>
        </w:rPr>
        <w:t>.1</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mc:AlternateContent>
          <mc:Choice Requires="wps">
            <w:drawing>
              <wp:anchor distT="45720" distB="45720" distL="114300" distR="114300" simplePos="0" relativeHeight="251667456"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wps:spPr>
                      <wps:txb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lang w:eastAsia="zh-CN"/>
                              </w:rPr>
                              <w:t>充电、换电设施设备制造与运营</w:t>
                            </w:r>
                            <w:r>
                              <w:rPr>
                                <w:rFonts w:hint="eastAsia"/>
                                <w:b/>
                              </w:rPr>
                              <w:t>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7456;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tBkVN2gAAAAkBAAAPAAAAAAAAAAEAIAAAACIAAABkcnMvZG93&#10;bnJldi54bWxQSwECFAAUAAAACACHTuJAiSiemTcCAABUBAAADgAAAAAAAAABACAAAAApAQAAZHJz&#10;L2Uyb0RvYy54bWxQSwUGAAAAAAYABgBZAQAA0gUAAAAA&#10;">
                <v:fill on="f" focussize="0,0"/>
                <v:stroke weight="0.5pt" color="#000000" miterlimit="8" joinstyle="miter"/>
                <v:imagedata o:title=""/>
                <o:lock v:ext="edit" aspectratio="f"/>
                <v:textbo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lang w:eastAsia="zh-CN"/>
                        </w:rPr>
                        <w:t>充电、换电设施设备制造与运营</w:t>
                      </w:r>
                      <w:r>
                        <w:rPr>
                          <w:rFonts w:hint="eastAsia"/>
                          <w:b/>
                        </w:rPr>
                        <w:t>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v:textbox>
                <w10:wrap type="square"/>
              </v:shape>
            </w:pict>
          </mc:Fallback>
        </mc:AlternateContent>
      </w:r>
      <w:r>
        <w:rPr>
          <w:rFonts w:hint="eastAsia" w:ascii="黑体" w:hAnsi="黑体" w:eastAsia="黑体" w:cs="黑体"/>
          <w:kern w:val="2"/>
          <w:sz w:val="21"/>
          <w:szCs w:val="21"/>
          <w:lang w:val="en-US" w:eastAsia="zh-CN" w:bidi="ar-SA"/>
        </w:rPr>
        <w:t xml:space="preserve">表C.1  </w:t>
      </w:r>
      <w:r>
        <w:rPr>
          <w:rFonts w:hint="eastAsia" w:ascii="黑体" w:hAnsi="黑体" w:eastAsia="黑体" w:cs="黑体"/>
          <w:szCs w:val="21"/>
          <w:lang w:eastAsia="zh-CN"/>
        </w:rPr>
        <w:t>充电、换电设施设备制造与运营</w:t>
      </w:r>
      <w:r>
        <w:rPr>
          <w:rFonts w:hint="eastAsia" w:ascii="Times New Roman"/>
        </w:rPr>
        <w:t>行业</w:t>
      </w:r>
      <w:r>
        <w:rPr>
          <w:rFonts w:hint="eastAsia" w:ascii="Times New Roman"/>
          <w:lang w:eastAsia="zh-CN"/>
        </w:rPr>
        <w:t>绿色低碳产业项目</w:t>
      </w:r>
      <w:r>
        <w:rPr>
          <w:rFonts w:hint="eastAsia" w:ascii="黑体" w:hAnsi="黑体" w:eastAsia="黑体" w:cs="黑体"/>
          <w:kern w:val="2"/>
          <w:sz w:val="21"/>
          <w:szCs w:val="21"/>
          <w:lang w:val="en-US" w:eastAsia="zh-CN" w:bidi="ar-SA"/>
        </w:rPr>
        <w:t>认定评价报告封面</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C.2  基本信息</w:t>
      </w:r>
    </w:p>
    <w:p>
      <w:pPr>
        <w:pStyle w:val="24"/>
        <w:rPr>
          <w:rFonts w:ascii="Times New Roman"/>
        </w:rPr>
      </w:pPr>
      <w:r>
        <w:rPr>
          <w:rFonts w:hint="eastAsia" w:ascii="Times New Roman"/>
          <w:lang w:eastAsia="zh-CN"/>
        </w:rPr>
        <w:t>项目</w:t>
      </w:r>
      <w:r>
        <w:rPr>
          <w:rFonts w:ascii="Times New Roman"/>
        </w:rPr>
        <w:t>基本信息的填报要求见</w:t>
      </w:r>
      <w:r>
        <w:rPr>
          <w:rFonts w:hint="eastAsia" w:hAnsi="宋体" w:cs="宋体"/>
        </w:rPr>
        <w:t>表</w:t>
      </w:r>
      <w:r>
        <w:rPr>
          <w:rFonts w:hint="eastAsia" w:hAnsi="宋体" w:cs="宋体"/>
          <w:lang w:val="en-US" w:eastAsia="zh-CN"/>
        </w:rPr>
        <w:t>C</w:t>
      </w:r>
      <w:r>
        <w:rPr>
          <w:rFonts w:hint="eastAsia" w:hAnsi="宋体" w:cs="宋体"/>
        </w:rPr>
        <w:t>.2</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表C.2  基本信息</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申请认定评价的绿色业务相关产品或服务</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4" w:hRule="atLeast"/>
          <w:jc w:val="center"/>
        </w:trPr>
        <w:tc>
          <w:tcPr>
            <w:tcW w:w="1957" w:type="dxa"/>
            <w:tcBorders>
              <w:tl2br w:val="nil"/>
              <w:tr2bl w:val="nil"/>
            </w:tcBorders>
            <w:vAlign w:val="center"/>
          </w:tcPr>
          <w:p>
            <w:pPr>
              <w:widowControl/>
              <w:jc w:val="center"/>
              <w:rPr>
                <w:rFonts w:hint="default" w:eastAsiaTheme="minorEastAsia"/>
                <w:color w:val="000000"/>
                <w:kern w:val="0"/>
                <w:sz w:val="18"/>
                <w:szCs w:val="18"/>
                <w:lang w:val="en-US" w:eastAsia="zh-CN"/>
              </w:rPr>
            </w:pPr>
            <w:r>
              <w:rPr>
                <w:rFonts w:hint="eastAsia" w:eastAsiaTheme="minorEastAsia"/>
                <w:color w:val="000000"/>
                <w:kern w:val="0"/>
                <w:sz w:val="18"/>
                <w:szCs w:val="18"/>
                <w:lang w:val="en-US" w:eastAsia="zh-CN"/>
              </w:rPr>
              <w:t>申报单位名称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39" w:hRule="atLeast"/>
          <w:jc w:val="center"/>
        </w:trPr>
        <w:tc>
          <w:tcPr>
            <w:tcW w:w="1957"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联系人</w:t>
            </w:r>
          </w:p>
        </w:tc>
        <w:tc>
          <w:tcPr>
            <w:tcW w:w="2775" w:type="dxa"/>
            <w:tcBorders>
              <w:tl2br w:val="nil"/>
              <w:tr2bl w:val="nil"/>
            </w:tcBorders>
            <w:vAlign w:val="center"/>
          </w:tcPr>
          <w:p>
            <w:pPr>
              <w:widowControl/>
              <w:jc w:val="left"/>
              <w:rPr>
                <w:rFonts w:hint="eastAsia" w:ascii="Times New Roman" w:hAnsi="Times New Roman" w:cs="Times New Roman" w:eastAsiaTheme="minorEastAsia"/>
                <w:color w:val="000000"/>
                <w:kern w:val="0"/>
                <w:sz w:val="18"/>
                <w:szCs w:val="18"/>
                <w:lang w:val="en-US" w:eastAsia="zh-CN" w:bidi="ar-SA"/>
              </w:rPr>
            </w:pPr>
          </w:p>
        </w:tc>
        <w:tc>
          <w:tcPr>
            <w:tcW w:w="1350"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联系电话</w:t>
            </w:r>
          </w:p>
        </w:tc>
        <w:tc>
          <w:tcPr>
            <w:tcW w:w="2335" w:type="dxa"/>
            <w:tcBorders>
              <w:tl2br w:val="nil"/>
              <w:tr2bl w:val="nil"/>
            </w:tcBorders>
            <w:vAlign w:val="center"/>
          </w:tcPr>
          <w:p>
            <w:pPr>
              <w:widowControl/>
              <w:rPr>
                <w:rFonts w:hint="eastAsia" w:ascii="Times New Roman" w:hAnsi="Times New Roman" w:cs="Times New Roman" w:eastAsiaTheme="minorEastAsia"/>
                <w:color w:val="000000"/>
                <w:kern w:val="0"/>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l2br w:val="nil"/>
              <w:tr2bl w:val="nil"/>
            </w:tcBorders>
            <w:vAlign w:val="center"/>
          </w:tcPr>
          <w:p>
            <w:pPr>
              <w:widowControl/>
              <w:jc w:val="center"/>
              <w:rPr>
                <w:rFonts w:eastAsiaTheme="minorEastAsia"/>
                <w:color w:val="000000"/>
                <w:kern w:val="0"/>
                <w:sz w:val="18"/>
                <w:szCs w:val="18"/>
              </w:rPr>
            </w:pPr>
            <w:r>
              <w:rPr>
                <w:rFonts w:hint="eastAsia" w:ascii="宋体" w:hAnsi="宋体" w:cs="宋体"/>
                <w:color w:val="000000"/>
                <w:kern w:val="0"/>
                <w:sz w:val="18"/>
                <w:szCs w:val="18"/>
              </w:rPr>
              <w:t>表</w:t>
            </w:r>
            <w:r>
              <w:rPr>
                <w:rFonts w:hint="eastAsia" w:ascii="宋体" w:hAnsi="宋体" w:cs="宋体"/>
                <w:color w:val="000000"/>
                <w:kern w:val="0"/>
                <w:sz w:val="18"/>
                <w:szCs w:val="18"/>
                <w:lang w:val="en-US" w:eastAsia="zh-CN"/>
              </w:rPr>
              <w:t>C</w:t>
            </w:r>
            <w:r>
              <w:rPr>
                <w:rFonts w:hint="eastAsia" w:ascii="宋体" w:hAnsi="宋体" w:cs="宋体"/>
                <w:color w:val="000000"/>
                <w:kern w:val="0"/>
                <w:sz w:val="18"/>
                <w:szCs w:val="18"/>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简介</w:t>
            </w:r>
          </w:p>
        </w:tc>
        <w:tc>
          <w:tcPr>
            <w:tcW w:w="6460" w:type="dxa"/>
            <w:gridSpan w:val="3"/>
            <w:tcBorders>
              <w:tl2br w:val="nil"/>
              <w:tr2bl w:val="nil"/>
            </w:tcBorders>
            <w:vAlign w:val="center"/>
          </w:tcPr>
          <w:p>
            <w:pPr>
              <w:widowControl/>
              <w:rPr>
                <w:rFonts w:eastAsiaTheme="minorEastAsia"/>
                <w:color w:val="000000"/>
                <w:kern w:val="0"/>
                <w:sz w:val="18"/>
                <w:szCs w:val="18"/>
              </w:rPr>
            </w:pPr>
            <w:r>
              <w:rPr>
                <w:rFonts w:eastAsiaTheme="minorEastAsia"/>
                <w:color w:val="000000"/>
                <w:kern w:val="0"/>
                <w:sz w:val="18"/>
                <w:szCs w:val="18"/>
              </w:rPr>
              <w:t>（</w:t>
            </w:r>
            <w:r>
              <w:rPr>
                <w:rFonts w:hint="eastAsia" w:eastAsiaTheme="minorEastAsia"/>
                <w:color w:val="000000"/>
                <w:kern w:val="0"/>
                <w:sz w:val="18"/>
                <w:szCs w:val="18"/>
                <w:lang w:val="en-US" w:eastAsia="zh-CN"/>
              </w:rPr>
              <w:t>项目建设、运营</w:t>
            </w:r>
            <w:r>
              <w:rPr>
                <w:rFonts w:eastAsiaTheme="minorEastAsia"/>
                <w:color w:val="000000"/>
                <w:kern w:val="0"/>
                <w:sz w:val="18"/>
                <w:szCs w:val="18"/>
              </w:rPr>
              <w:t>情况介绍）</w:t>
            </w: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widowControl/>
              <w:rPr>
                <w:rFonts w:eastAsiaTheme="minorEastAsia"/>
                <w:color w:val="000000"/>
                <w:kern w:val="0"/>
                <w:sz w:val="18"/>
                <w:szCs w:val="18"/>
              </w:rPr>
            </w:pP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pStyle w:val="2"/>
            </w:pPr>
          </w:p>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l2br w:val="nil"/>
              <w:tr2bl w:val="nil"/>
            </w:tcBorders>
            <w:vAlign w:val="center"/>
          </w:tcPr>
          <w:p>
            <w:pPr>
              <w:widowControl/>
              <w:rPr>
                <w:rFonts w:eastAsiaTheme="minorEastAsia"/>
                <w:b/>
                <w:kern w:val="0"/>
                <w:sz w:val="18"/>
                <w:szCs w:val="18"/>
              </w:rPr>
            </w:pPr>
            <w:r>
              <w:rPr>
                <w:rFonts w:eastAsiaTheme="minorEastAsia"/>
                <w:b/>
                <w:kern w:val="0"/>
                <w:sz w:val="18"/>
                <w:szCs w:val="18"/>
              </w:rPr>
              <w:t>材料真实性承诺:</w:t>
            </w:r>
          </w:p>
          <w:p>
            <w:pPr>
              <w:widowControl/>
              <w:ind w:firstLine="372" w:firstLineChars="207"/>
              <w:rPr>
                <w:rFonts w:eastAsiaTheme="minorEastAsia"/>
                <w:kern w:val="0"/>
                <w:sz w:val="18"/>
                <w:szCs w:val="18"/>
              </w:rPr>
            </w:pPr>
          </w:p>
          <w:p>
            <w:pPr>
              <w:pStyle w:val="2"/>
            </w:pPr>
          </w:p>
          <w:p>
            <w:pPr>
              <w:widowControl/>
              <w:ind w:firstLine="372" w:firstLineChars="207"/>
              <w:rPr>
                <w:rFonts w:eastAsiaTheme="minorEastAsia"/>
                <w:kern w:val="0"/>
                <w:sz w:val="18"/>
                <w:szCs w:val="18"/>
              </w:rPr>
            </w:pPr>
            <w:r>
              <w:rPr>
                <w:rFonts w:eastAsiaTheme="minorEastAsia"/>
                <w:kern w:val="0"/>
                <w:sz w:val="18"/>
                <w:szCs w:val="18"/>
              </w:rPr>
              <w:t>我单位郑重承诺：本次申报</w:t>
            </w:r>
            <w:r>
              <w:rPr>
                <w:rFonts w:hint="eastAsia" w:eastAsiaTheme="minorEastAsia"/>
                <w:kern w:val="0"/>
                <w:sz w:val="18"/>
                <w:szCs w:val="18"/>
                <w:lang w:eastAsia="zh-CN"/>
              </w:rPr>
              <w:t>绿色低碳产业</w:t>
            </w:r>
            <w:r>
              <w:rPr>
                <w:rFonts w:eastAsiaTheme="minor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rFonts w:eastAsiaTheme="minorEastAsia"/>
                <w:kern w:val="0"/>
                <w:sz w:val="18"/>
                <w:szCs w:val="18"/>
              </w:rPr>
            </w:pPr>
          </w:p>
          <w:p>
            <w:pPr>
              <w:pStyle w:val="2"/>
              <w:rPr>
                <w:rFonts w:eastAsiaTheme="minorEastAsia"/>
                <w:sz w:val="18"/>
                <w:szCs w:val="18"/>
              </w:rPr>
            </w:pPr>
          </w:p>
          <w:p>
            <w:pPr>
              <w:pStyle w:val="2"/>
            </w:pPr>
          </w:p>
          <w:p>
            <w:pPr>
              <w:widowControl/>
              <w:wordWrap w:val="0"/>
              <w:jc w:val="center"/>
              <w:rPr>
                <w:rFonts w:eastAsiaTheme="minorEastAsia"/>
                <w:b/>
                <w:kern w:val="0"/>
                <w:sz w:val="18"/>
                <w:szCs w:val="18"/>
              </w:rPr>
            </w:pPr>
            <w:r>
              <w:rPr>
                <w:rFonts w:eastAsiaTheme="minorEastAsia"/>
                <w:b/>
                <w:kern w:val="0"/>
                <w:sz w:val="18"/>
                <w:szCs w:val="18"/>
              </w:rPr>
              <w:t xml:space="preserve">                           法人或单位负责人签字：          </w:t>
            </w:r>
          </w:p>
          <w:p>
            <w:pPr>
              <w:widowControl/>
              <w:rPr>
                <w:rFonts w:eastAsiaTheme="minorEastAsia"/>
                <w:b/>
                <w:kern w:val="0"/>
                <w:sz w:val="18"/>
                <w:szCs w:val="18"/>
              </w:rPr>
            </w:pPr>
            <w:r>
              <w:rPr>
                <w:rFonts w:eastAsiaTheme="minorEastAsia"/>
                <w:b/>
                <w:kern w:val="0"/>
                <w:sz w:val="18"/>
                <w:szCs w:val="18"/>
              </w:rPr>
              <w:t xml:space="preserve">                                            （公章）</w:t>
            </w:r>
          </w:p>
          <w:p>
            <w:pPr>
              <w:widowControl/>
              <w:wordWrap w:val="0"/>
              <w:jc w:val="center"/>
              <w:rPr>
                <w:rFonts w:eastAsiaTheme="minorEastAsia"/>
                <w:b/>
                <w:kern w:val="0"/>
                <w:sz w:val="18"/>
                <w:szCs w:val="18"/>
              </w:rPr>
            </w:pPr>
            <w:r>
              <w:rPr>
                <w:rFonts w:eastAsiaTheme="minorEastAsia"/>
                <w:b/>
                <w:kern w:val="0"/>
                <w:sz w:val="18"/>
                <w:szCs w:val="18"/>
              </w:rPr>
              <w:t xml:space="preserve">                                            日期：           </w:t>
            </w:r>
          </w:p>
        </w:tc>
      </w:tr>
    </w:tbl>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C.3  评价工作概述</w:t>
      </w:r>
    </w:p>
    <w:p>
      <w:pPr>
        <w:pStyle w:val="24"/>
        <w:rPr>
          <w:rFonts w:ascii="Times New Roman"/>
        </w:rPr>
      </w:pPr>
      <w:r>
        <w:rPr>
          <w:rFonts w:ascii="Times New Roman"/>
        </w:rPr>
        <w:t>概述</w:t>
      </w:r>
      <w:r>
        <w:rPr>
          <w:rFonts w:hint="eastAsia" w:ascii="黑体" w:hAnsi="黑体" w:eastAsia="黑体" w:cs="黑体"/>
          <w:szCs w:val="21"/>
          <w:lang w:eastAsia="zh-CN"/>
        </w:rPr>
        <w:t>充电、换电设施设备制造与运营</w:t>
      </w:r>
      <w:r>
        <w:rPr>
          <w:rFonts w:hint="eastAsia" w:ascii="Times New Roman"/>
          <w:lang w:eastAsia="zh-CN"/>
        </w:rPr>
        <w:t>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认定评价工作具体开展情况，包括但不限于工作组设立情况、工作组成员专业背景、评价方式、查看资料类型等等。</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  绿色低碳产业项目认定情况</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C.4.1  基本要求</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C.4.2  符合性评价</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对目录符合和技术符合进行具体描述。</w:t>
      </w:r>
    </w:p>
    <w:p>
      <w:pPr>
        <w:pStyle w:val="24"/>
        <w:ind w:left="840" w:leftChars="200" w:hanging="420" w:hangingChars="200"/>
        <w:rPr>
          <w:rFonts w:hAnsi="宋体" w:cs="宋体"/>
        </w:rPr>
      </w:pPr>
      <w:r>
        <w:rPr>
          <w:rFonts w:hint="eastAsia" w:hAnsi="宋体" w:cs="宋体"/>
        </w:rPr>
        <w:t>——目录符合：主要描述申请认定评价的绿色</w:t>
      </w:r>
      <w:r>
        <w:rPr>
          <w:rFonts w:hint="eastAsia" w:hAnsi="宋体" w:cs="宋体"/>
          <w:lang w:val="en-US" w:eastAsia="zh-CN"/>
        </w:rPr>
        <w:t>项目</w:t>
      </w:r>
      <w:r>
        <w:rPr>
          <w:rFonts w:hint="eastAsia" w:hAnsi="宋体" w:cs="宋体"/>
        </w:rPr>
        <w:t>，明确其满足《</w:t>
      </w:r>
      <w:r>
        <w:rPr>
          <w:rFonts w:hint="eastAsia" w:hAnsi="宋体" w:cs="宋体"/>
          <w:lang w:val="en-US" w:eastAsia="zh-CN"/>
        </w:rPr>
        <w:t>深圳市</w:t>
      </w:r>
      <w:r>
        <w:rPr>
          <w:rFonts w:hint="eastAsia" w:hAnsi="宋体" w:cs="宋体"/>
        </w:rPr>
        <w:t>绿色</w:t>
      </w:r>
      <w:r>
        <w:rPr>
          <w:rFonts w:hint="eastAsia" w:hAnsi="宋体" w:cs="宋体"/>
          <w:lang w:val="en-US" w:eastAsia="zh-CN"/>
        </w:rPr>
        <w:t>低碳</w:t>
      </w:r>
      <w:r>
        <w:rPr>
          <w:rFonts w:hint="eastAsia" w:hAnsi="宋体" w:cs="宋体"/>
        </w:rPr>
        <w:t>产业指导目录》</w:t>
      </w:r>
      <w:r>
        <w:rPr>
          <w:rFonts w:hint="eastAsia" w:hAnsi="宋体" w:cs="宋体"/>
          <w:lang w:val="en-US" w:eastAsia="zh-CN"/>
        </w:rPr>
        <w:t>，且符合安全、环保、质量相关法规政策、强制性标准等的要求，描述包括但不限于环境影响评价、社会影响评价、固定资产投资节能审查等相关项目情况</w:t>
      </w:r>
      <w:r>
        <w:rPr>
          <w:rFonts w:hint="eastAsia" w:hAnsi="宋体" w:cs="宋体"/>
        </w:rPr>
        <w:t>。</w:t>
      </w:r>
    </w:p>
    <w:p>
      <w:pPr>
        <w:pStyle w:val="24"/>
        <w:rPr>
          <w:rFonts w:hAnsi="宋体" w:cs="宋体"/>
        </w:rPr>
      </w:pPr>
      <w:r>
        <w:rPr>
          <w:rFonts w:hint="eastAsia" w:hAnsi="宋体" w:cs="宋体"/>
        </w:rPr>
        <w:t>——技术符合：列明</w:t>
      </w:r>
      <w:r>
        <w:rPr>
          <w:rFonts w:hint="eastAsia" w:hAnsi="宋体" w:cs="宋体"/>
          <w:lang w:val="en-US" w:eastAsia="zh-CN"/>
        </w:rPr>
        <w:t>项目执行所</w:t>
      </w:r>
      <w:r>
        <w:rPr>
          <w:rFonts w:hint="eastAsia" w:hAnsi="宋体" w:cs="宋体"/>
        </w:rPr>
        <w:t>符合相关的法律法规、政策、标准中等技术要求。</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C.4.3  综合评价</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C.4.3.1  技术表现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有效知识产权、关键技术先进性</w:t>
      </w:r>
      <w:r>
        <w:rPr>
          <w:rFonts w:hint="eastAsia" w:hAnsi="宋体" w:cs="宋体"/>
        </w:rPr>
        <w:t>和环境效益进行具体描述。</w:t>
      </w:r>
    </w:p>
    <w:p>
      <w:pPr>
        <w:pStyle w:val="24"/>
        <w:ind w:left="840" w:leftChars="200" w:hanging="420" w:hangingChars="200"/>
        <w:rPr>
          <w:rFonts w:hAnsi="宋体" w:cs="宋体"/>
        </w:rPr>
      </w:pPr>
      <w:r>
        <w:rPr>
          <w:rFonts w:hint="eastAsia" w:hAnsi="宋体" w:cs="宋体"/>
        </w:rPr>
        <w:t>——</w:t>
      </w:r>
      <w:r>
        <w:rPr>
          <w:rFonts w:hint="eastAsia" w:hAnsi="宋体" w:cs="宋体"/>
          <w:lang w:val="en-US" w:eastAsia="zh-CN"/>
        </w:rPr>
        <w:t>有效知识产权</w:t>
      </w:r>
      <w:r>
        <w:rPr>
          <w:rFonts w:hint="eastAsia" w:hAnsi="宋体" w:cs="宋体"/>
        </w:rPr>
        <w:t>：</w:t>
      </w:r>
      <w:r>
        <w:rPr>
          <w:rFonts w:hint="eastAsia" w:hAnsi="宋体" w:cs="宋体"/>
          <w:lang w:val="en-US" w:eastAsia="zh-CN"/>
        </w:rPr>
        <w:t>主要描述在项目拥有并直接应用的有效知识产权数量的</w:t>
      </w:r>
      <w:r>
        <w:rPr>
          <w:rFonts w:hint="eastAsia" w:hAnsi="宋体" w:cs="宋体"/>
        </w:rPr>
        <w:t>情况。</w:t>
      </w:r>
    </w:p>
    <w:p>
      <w:pPr>
        <w:pStyle w:val="24"/>
        <w:ind w:left="840" w:leftChars="200" w:hanging="420" w:hangingChars="200"/>
        <w:rPr>
          <w:rFonts w:hint="eastAsia" w:hAnsi="宋体" w:cs="宋体"/>
        </w:rPr>
      </w:pPr>
      <w:r>
        <w:rPr>
          <w:rFonts w:hint="eastAsia" w:hAnsi="宋体" w:cs="宋体"/>
        </w:rPr>
        <w:t>——</w:t>
      </w:r>
      <w:r>
        <w:rPr>
          <w:rFonts w:hint="eastAsia" w:hAnsi="宋体" w:cs="宋体"/>
          <w:lang w:val="en-US" w:eastAsia="zh-CN"/>
        </w:rPr>
        <w:t>关键技术先进性</w:t>
      </w:r>
      <w:r>
        <w:rPr>
          <w:rFonts w:hint="eastAsia" w:hAnsi="宋体" w:cs="宋体"/>
        </w:rPr>
        <w:t>：主要描述</w:t>
      </w:r>
      <w:r>
        <w:rPr>
          <w:rFonts w:hint="eastAsia" w:ascii="Times New Roman"/>
          <w:lang w:val="en-US" w:eastAsia="zh-CN"/>
        </w:rPr>
        <w:t>项目应用的关键技术在行业内或地区内能达到的领先水平情况</w:t>
      </w:r>
      <w:r>
        <w:rPr>
          <w:rFonts w:hint="eastAsia" w:hAnsi="宋体" w:cs="宋体"/>
        </w:rPr>
        <w:t>。</w:t>
      </w:r>
    </w:p>
    <w:p>
      <w:pPr>
        <w:pStyle w:val="24"/>
        <w:ind w:left="840" w:leftChars="200" w:hanging="420" w:hangingChars="200"/>
        <w:rPr>
          <w:rFonts w:hint="default" w:hAnsi="宋体" w:eastAsia="宋体" w:cs="宋体"/>
          <w:lang w:val="en-US" w:eastAsia="zh-CN"/>
        </w:rPr>
      </w:pPr>
      <w:r>
        <w:rPr>
          <w:rFonts w:hint="eastAsia" w:hAnsi="宋体" w:cs="宋体"/>
          <w:lang w:eastAsia="zh-CN"/>
        </w:rPr>
        <w:t>——</w:t>
      </w:r>
      <w:r>
        <w:rPr>
          <w:rFonts w:hint="eastAsia" w:hAnsi="宋体" w:cs="宋体"/>
          <w:lang w:val="en-US" w:eastAsia="zh-CN"/>
        </w:rPr>
        <w:t>环境效益。主要描述项目取得的资源节约、环境友好、生态良好相关实际环境效益贡献量的情况。</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C.4.3.2  环境表现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设备材料</w:t>
      </w:r>
      <w:r>
        <w:rPr>
          <w:rFonts w:hint="eastAsia" w:hAnsi="宋体" w:cs="宋体"/>
        </w:rPr>
        <w:t>、</w:t>
      </w:r>
      <w:r>
        <w:rPr>
          <w:rFonts w:hint="eastAsia" w:hAnsi="宋体" w:cs="宋体"/>
          <w:lang w:eastAsia="zh-CN"/>
        </w:rPr>
        <w:t>绿色低碳运营和污染物排放水平</w:t>
      </w:r>
      <w:r>
        <w:rPr>
          <w:rFonts w:hint="eastAsia" w:hAnsi="宋体" w:cs="宋体"/>
        </w:rPr>
        <w:t>进行具体描述。</w:t>
      </w:r>
    </w:p>
    <w:p>
      <w:pPr>
        <w:pStyle w:val="24"/>
        <w:ind w:left="850" w:leftChars="204" w:hanging="422" w:hangingChars="201"/>
        <w:rPr>
          <w:rFonts w:hAnsi="宋体" w:cs="宋体"/>
        </w:rPr>
      </w:pPr>
      <w:r>
        <w:rPr>
          <w:rFonts w:hint="eastAsia" w:hAnsi="宋体" w:cs="宋体"/>
        </w:rPr>
        <w:t>——</w:t>
      </w:r>
      <w:r>
        <w:rPr>
          <w:rFonts w:hint="eastAsia" w:hAnsi="宋体" w:cs="宋体"/>
          <w:lang w:val="en-US" w:eastAsia="zh-CN"/>
        </w:rPr>
        <w:t>设备材料</w:t>
      </w:r>
      <w:r>
        <w:rPr>
          <w:rFonts w:hint="eastAsia" w:hAnsi="宋体" w:cs="宋体"/>
        </w:rPr>
        <w:t>：主要描述</w:t>
      </w:r>
      <w:r>
        <w:rPr>
          <w:rFonts w:hint="eastAsia" w:hAnsi="宋体" w:cs="宋体"/>
          <w:lang w:val="en-US" w:eastAsia="zh-CN"/>
        </w:rPr>
        <w:t>项目采用的设备、材料绿色化水平的</w:t>
      </w:r>
      <w:r>
        <w:rPr>
          <w:rFonts w:hint="eastAsia" w:hAnsi="宋体" w:cs="宋体"/>
        </w:rPr>
        <w:t>情况。</w:t>
      </w:r>
    </w:p>
    <w:p>
      <w:pPr>
        <w:pStyle w:val="24"/>
        <w:rPr>
          <w:rFonts w:hint="eastAsia" w:hAnsi="宋体" w:cs="宋体"/>
          <w:lang w:val="en-US" w:eastAsia="zh-CN"/>
        </w:rPr>
      </w:pPr>
      <w:r>
        <w:rPr>
          <w:rFonts w:hint="eastAsia" w:hAnsi="宋体" w:cs="宋体"/>
        </w:rPr>
        <w:t>——</w:t>
      </w:r>
      <w:r>
        <w:rPr>
          <w:rFonts w:hint="eastAsia" w:hAnsi="宋体" w:cs="宋体"/>
          <w:lang w:val="en-US" w:eastAsia="zh-CN"/>
        </w:rPr>
        <w:t>绿色低碳运营</w:t>
      </w:r>
      <w:r>
        <w:rPr>
          <w:rFonts w:hint="eastAsia" w:hAnsi="宋体" w:cs="宋体"/>
        </w:rPr>
        <w:t>：主要描述</w:t>
      </w:r>
      <w:r>
        <w:rPr>
          <w:rFonts w:hint="eastAsia" w:hAnsi="宋体" w:cs="宋体"/>
          <w:lang w:val="en-US" w:eastAsia="zh-CN"/>
        </w:rPr>
        <w:t>项目单位总投资综合能耗、单位总投资用水量、单位总投资用地面积、</w:t>
      </w:r>
    </w:p>
    <w:p>
      <w:pPr>
        <w:pStyle w:val="24"/>
        <w:ind w:firstLine="840" w:firstLineChars="400"/>
        <w:rPr>
          <w:rFonts w:hAnsi="宋体" w:cs="宋体"/>
        </w:rPr>
      </w:pPr>
      <w:r>
        <w:rPr>
          <w:rFonts w:hint="eastAsia" w:hAnsi="宋体" w:cs="宋体"/>
          <w:lang w:val="en-US" w:eastAsia="zh-CN"/>
        </w:rPr>
        <w:t>单位总投资碳排放量、可再生利用率等方面的</w:t>
      </w:r>
      <w:r>
        <w:rPr>
          <w:rFonts w:hint="eastAsia" w:hAnsi="宋体" w:cs="宋体"/>
        </w:rPr>
        <w:t>情况。</w:t>
      </w:r>
    </w:p>
    <w:p>
      <w:pPr>
        <w:pStyle w:val="24"/>
        <w:rPr>
          <w:rFonts w:hAnsi="宋体" w:cs="宋体"/>
        </w:rPr>
      </w:pPr>
      <w:r>
        <w:rPr>
          <w:rFonts w:hint="eastAsia" w:hAnsi="宋体" w:cs="宋体"/>
        </w:rPr>
        <w:t>——</w:t>
      </w:r>
      <w:r>
        <w:rPr>
          <w:rFonts w:hint="eastAsia" w:hAnsi="宋体" w:cs="宋体"/>
          <w:lang w:val="en-US" w:eastAsia="zh-CN"/>
        </w:rPr>
        <w:t>污染物排放水平</w:t>
      </w:r>
      <w:r>
        <w:rPr>
          <w:rFonts w:hint="eastAsia" w:hAnsi="宋体" w:cs="宋体"/>
        </w:rPr>
        <w:t>：</w:t>
      </w:r>
      <w:r>
        <w:rPr>
          <w:rFonts w:hint="eastAsia" w:hAnsi="宋体" w:cs="宋体"/>
          <w:lang w:val="en-US" w:eastAsia="zh-CN"/>
        </w:rPr>
        <w:t>主要描述项目自身生产运营过程向环境排放污染物的情况</w:t>
      </w:r>
      <w:r>
        <w:rPr>
          <w:rFonts w:hint="eastAsia" w:hAnsi="宋体" w:cs="宋体"/>
        </w:rPr>
        <w:t>。</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C.5  评价表</w:t>
      </w:r>
    </w:p>
    <w:p>
      <w:pPr>
        <w:pStyle w:val="24"/>
        <w:rPr>
          <w:rFonts w:hAnsi="宋体" w:cs="宋体"/>
        </w:rPr>
      </w:pP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w:t>
      </w:r>
      <w:r>
        <w:rPr>
          <w:rFonts w:hint="eastAsia" w:ascii="Times New Roman"/>
        </w:rPr>
        <w:t>评价</w:t>
      </w:r>
      <w:r>
        <w:rPr>
          <w:rFonts w:hint="eastAsia" w:hAnsi="宋体" w:cs="宋体"/>
        </w:rPr>
        <w:t>表见表</w:t>
      </w:r>
      <w:r>
        <w:rPr>
          <w:rFonts w:hint="eastAsia" w:hAnsi="宋体" w:cs="宋体"/>
          <w:lang w:val="en-US" w:eastAsia="zh-CN"/>
        </w:rPr>
        <w:t>C</w:t>
      </w:r>
      <w:r>
        <w:rPr>
          <w:rFonts w:hint="eastAsia" w:hAnsi="宋体" w:cs="宋体"/>
        </w:rPr>
        <w:t>.3、表</w:t>
      </w:r>
      <w:r>
        <w:rPr>
          <w:rFonts w:hint="eastAsia" w:hAnsi="宋体" w:cs="宋体"/>
          <w:lang w:val="en-US" w:eastAsia="zh-CN"/>
        </w:rPr>
        <w:t>C</w:t>
      </w:r>
      <w:r>
        <w:rPr>
          <w:rFonts w:hint="eastAsia" w:hAnsi="宋体" w:cs="宋体"/>
        </w:rPr>
        <w:t>.4和表</w:t>
      </w:r>
      <w:r>
        <w:rPr>
          <w:rFonts w:hint="eastAsia" w:hAnsi="宋体" w:cs="宋体"/>
          <w:lang w:val="en-US" w:eastAsia="zh-CN"/>
        </w:rPr>
        <w:t>C</w:t>
      </w:r>
      <w:r>
        <w:rPr>
          <w:rFonts w:hint="eastAsia" w:hAnsi="宋体" w:cs="宋体"/>
        </w:rPr>
        <w:t>.5。</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表C.3</w:t>
      </w:r>
      <w:r>
        <w:rPr>
          <w:rFonts w:ascii="Times New Roman" w:hAnsi="Times New Roman" w:eastAsia="黑体" w:cs="Times New Roman"/>
          <w:kern w:val="2"/>
          <w:sz w:val="21"/>
          <w:szCs w:val="21"/>
          <w:lang w:val="en-US" w:eastAsia="zh-CN" w:bidi="ar-SA"/>
        </w:rPr>
        <w:t xml:space="preserve">  基本要求</w:t>
      </w:r>
      <w:r>
        <w:rPr>
          <w:rFonts w:hint="eastAsia" w:ascii="Times New Roman" w:hAnsi="Times New Roman" w:eastAsia="黑体" w:cs="Times New Roman"/>
          <w:kern w:val="2"/>
          <w:sz w:val="21"/>
          <w:szCs w:val="21"/>
          <w:lang w:val="en-US" w:eastAsia="zh-CN" w:bidi="ar-SA"/>
        </w:rPr>
        <w:t>评价</w:t>
      </w:r>
      <w:r>
        <w:rPr>
          <w:rFonts w:ascii="Times New Roman" w:hAnsi="Times New Roman" w:eastAsia="黑体" w:cs="Times New Roman"/>
          <w:kern w:val="2"/>
          <w:sz w:val="21"/>
          <w:szCs w:val="21"/>
          <w:lang w:val="en-US" w:eastAsia="zh-CN" w:bidi="ar-SA"/>
        </w:rPr>
        <w:t>表</w:t>
      </w:r>
    </w:p>
    <w:tbl>
      <w:tblPr>
        <w:tblStyle w:val="34"/>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2559" w:type="dxa"/>
            <w:tcBorders>
              <w:bottom w:val="single" w:color="auto" w:sz="8"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基本要求内容</w:t>
            </w:r>
          </w:p>
        </w:tc>
        <w:tc>
          <w:tcPr>
            <w:tcW w:w="2711"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评分依据</w:t>
            </w:r>
          </w:p>
        </w:tc>
        <w:tc>
          <w:tcPr>
            <w:tcW w:w="1647"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402"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2559" w:type="dxa"/>
            <w:tcBorders>
              <w:top w:val="single" w:color="auto" w:sz="8" w:space="0"/>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2711" w:type="dxa"/>
            <w:tcBorders>
              <w:top w:val="single" w:color="auto" w:sz="8" w:space="0"/>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w:t>
            </w:r>
          </w:p>
        </w:tc>
        <w:tc>
          <w:tcPr>
            <w:tcW w:w="1647" w:type="dxa"/>
            <w:tcBorders>
              <w:top w:val="single" w:color="auto" w:sz="8" w:space="0"/>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op w:val="single" w:color="auto" w:sz="8" w:space="0"/>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2711" w:type="dxa"/>
            <w:tcBorders>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647" w:type="dxa"/>
            <w:tcBorders>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15"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3</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4</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表C.4  符合性指标评价表</w:t>
      </w:r>
    </w:p>
    <w:tbl>
      <w:tblPr>
        <w:tblStyle w:val="34"/>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94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405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1726" w:type="dxa"/>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369" w:type="dxa"/>
            <w:tcBorders>
              <w:top w:val="single" w:color="auto" w:sz="8" w:space="0"/>
              <w:left w:val="single" w:color="auto" w:sz="4" w:space="0"/>
              <w:bottom w:val="single" w:color="auto" w:sz="8" w:space="0"/>
              <w:right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4"/>
              <w:ind w:firstLine="0" w:firstLineChars="0"/>
              <w:rPr>
                <w:rFonts w:hint="default" w:asciiTheme="minorEastAsia" w:hAnsiTheme="minorEastAsia" w:eastAsiaTheme="minorEastAsia"/>
                <w:color w:val="000000"/>
                <w:kern w:val="0"/>
                <w:sz w:val="18"/>
                <w:szCs w:val="18"/>
                <w:lang w:val="en-US" w:eastAsia="zh-CN"/>
              </w:rPr>
            </w:pPr>
            <w:r>
              <w:rPr>
                <w:rFonts w:hint="default" w:cs="Times New Roman" w:asciiTheme="minorEastAsia" w:hAnsiTheme="minorEastAsia" w:eastAsiaTheme="minorEastAsia"/>
                <w:color w:val="000000"/>
                <w:sz w:val="18"/>
                <w:szCs w:val="18"/>
              </w:rPr>
              <w:t>申报绿色低碳产业认定的项目</w:t>
            </w:r>
            <w:r>
              <w:rPr>
                <w:rFonts w:hint="eastAsia"/>
                <w:sz w:val="18"/>
                <w:szCs w:val="18"/>
              </w:rPr>
              <w:t>充电设施及设备制造、换电设施及设备制造、充换电设施运营</w:t>
            </w:r>
            <w:r>
              <w:rPr>
                <w:rFonts w:hint="default" w:cs="Times New Roman" w:asciiTheme="minorEastAsia" w:hAnsiTheme="minorEastAsia" w:eastAsiaTheme="minorEastAsia"/>
                <w:color w:val="000000"/>
                <w:sz w:val="18"/>
                <w:szCs w:val="18"/>
              </w:rPr>
              <w:t>等</w:t>
            </w:r>
            <w:r>
              <w:rPr>
                <w:rFonts w:hint="eastAsia" w:cs="Times New Roman" w:asciiTheme="minorEastAsia" w:hAnsiTheme="minorEastAsia" w:eastAsiaTheme="minorEastAsia"/>
                <w:color w:val="000000"/>
                <w:sz w:val="18"/>
                <w:szCs w:val="18"/>
                <w:highlight w:val="none"/>
                <w:lang w:eastAsia="zh-CN"/>
              </w:rPr>
              <w:t>充电、换电设施设备制造与运营</w:t>
            </w:r>
            <w:r>
              <w:rPr>
                <w:rFonts w:hint="default" w:cs="Times New Roman" w:asciiTheme="minorEastAsia" w:hAnsiTheme="minorEastAsia" w:eastAsiaTheme="minorEastAsia"/>
                <w:color w:val="000000"/>
                <w:sz w:val="18"/>
                <w:szCs w:val="18"/>
                <w:highlight w:val="none"/>
                <w:lang w:eastAsia="zh-CN"/>
              </w:rPr>
              <w:t>及运营</w:t>
            </w:r>
            <w:r>
              <w:rPr>
                <w:rFonts w:hint="default" w:cs="Times New Roman" w:asciiTheme="minorEastAsia" w:hAnsiTheme="minorEastAsia" w:eastAsiaTheme="minorEastAsia"/>
                <w:color w:val="000000"/>
                <w:sz w:val="18"/>
                <w:szCs w:val="18"/>
              </w:rPr>
              <w:t>产业，且符合安全、环保、质量相关法规政策、强制性标准等的要求</w:t>
            </w:r>
            <w:r>
              <w:rPr>
                <w:rFonts w:hint="default" w:cs="Times New Roman" w:asciiTheme="minorEastAsia" w:hAnsiTheme="minorEastAsia" w:eastAsiaTheme="minorEastAsia"/>
                <w:color w:val="000000"/>
                <w:sz w:val="18"/>
                <w:szCs w:val="18"/>
                <w:lang w:eastAsia="zh-CN"/>
              </w:rPr>
              <w:t>。</w:t>
            </w:r>
          </w:p>
        </w:tc>
        <w:tc>
          <w:tcPr>
            <w:tcW w:w="1726" w:type="dxa"/>
            <w:tcBorders>
              <w:top w:val="single" w:color="auto" w:sz="8" w:space="0"/>
              <w:left w:val="single" w:color="auto" w:sz="4" w:space="0"/>
              <w:bottom w:val="single" w:color="auto" w:sz="4"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8" w:space="0"/>
              <w:left w:val="single" w:color="auto" w:sz="4" w:space="0"/>
              <w:bottom w:val="single" w:color="auto" w:sz="4"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405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4"/>
              <w:ind w:firstLine="0" w:firstLineChars="0"/>
              <w:rPr>
                <w:rFonts w:asciiTheme="minorEastAsia" w:hAnsiTheme="minorEastAsia" w:eastAsiaTheme="minorEastAsia"/>
                <w:color w:val="000000"/>
                <w:kern w:val="0"/>
                <w:sz w:val="18"/>
                <w:szCs w:val="18"/>
              </w:rPr>
            </w:pPr>
            <w:r>
              <w:rPr>
                <w:rFonts w:hint="default" w:cs="Times New Roman" w:asciiTheme="minorEastAsia" w:hAnsiTheme="minorEastAsia" w:eastAsiaTheme="minorEastAsia"/>
                <w:color w:val="000000"/>
                <w:sz w:val="18"/>
                <w:szCs w:val="18"/>
              </w:rPr>
              <w:t>提供的产品或服务应符合国家、广东省及深圳市相关主管部门发布的法律法规和政策标准要求，相关</w:t>
            </w:r>
            <w:r>
              <w:rPr>
                <w:rFonts w:hint="eastAsia"/>
                <w:sz w:val="18"/>
                <w:szCs w:val="18"/>
              </w:rPr>
              <w:t>充电设施及设备制造、换电设施及设备制造、充换电设施运营</w:t>
            </w:r>
            <w:r>
              <w:rPr>
                <w:rFonts w:hint="default" w:cs="Times New Roman" w:asciiTheme="minorEastAsia" w:hAnsiTheme="minorEastAsia" w:eastAsiaTheme="minorEastAsia"/>
                <w:color w:val="000000"/>
                <w:sz w:val="18"/>
                <w:szCs w:val="18"/>
              </w:rPr>
              <w:t>情况符合深圳市绿色低碳产业认定规则体系规定的技术要求。</w:t>
            </w:r>
          </w:p>
        </w:tc>
        <w:tc>
          <w:tcPr>
            <w:tcW w:w="1726" w:type="dxa"/>
            <w:tcBorders>
              <w:top w:val="single" w:color="auto" w:sz="4" w:space="0"/>
              <w:left w:val="single" w:color="auto" w:sz="4" w:space="0"/>
              <w:bottom w:val="single" w:color="auto" w:sz="8"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4" w:space="0"/>
              <w:left w:val="single" w:color="auto" w:sz="4" w:space="0"/>
              <w:bottom w:val="single" w:color="auto" w:sz="8"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表C.5  综合评价指标评分表</w:t>
      </w:r>
    </w:p>
    <w:tbl>
      <w:tblPr>
        <w:tblStyle w:val="35"/>
        <w:tblpPr w:leftFromText="180" w:rightFromText="180" w:vertAnchor="text" w:tblpXSpec="center" w:tblpY="1"/>
        <w:tblOverlap w:val="never"/>
        <w:tblW w:w="8357" w:type="dxa"/>
        <w:tblInd w:w="-8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一级指标</w:t>
            </w:r>
          </w:p>
        </w:tc>
        <w:tc>
          <w:tcPr>
            <w:tcW w:w="219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二级指标</w:t>
            </w:r>
          </w:p>
        </w:tc>
        <w:tc>
          <w:tcPr>
            <w:tcW w:w="1051"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分值</w:t>
            </w:r>
            <w:r>
              <w:rPr>
                <w:rFonts w:hint="eastAsia" w:ascii="Times New Roman"/>
                <w:b/>
                <w:sz w:val="18"/>
                <w:szCs w:val="18"/>
              </w:rPr>
              <w:t>（分）</w:t>
            </w:r>
          </w:p>
        </w:tc>
        <w:tc>
          <w:tcPr>
            <w:tcW w:w="151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2288"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hAnsi="Times New Roman" w:eastAsia="宋体" w:cs="Times New Roman"/>
                <w:b/>
                <w:sz w:val="18"/>
                <w:szCs w:val="18"/>
                <w:lang w:val="en-US" w:eastAsia="zh-CN" w:bidi="ar-SA"/>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基础得分</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通过符合性评价</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30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eastAsia="宋体" w:cs="宋体"/>
                <w:sz w:val="18"/>
                <w:szCs w:val="18"/>
                <w:lang w:eastAsia="zh-CN"/>
              </w:rPr>
            </w:pPr>
            <w:r>
              <w:rPr>
                <w:rFonts w:hint="eastAsia" w:hAnsi="宋体" w:cs="宋体"/>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rPr>
              <w:t>技术表现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关键技术先进性</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环境效益</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20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设备材料</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绿色低碳运营</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污染物排放水平</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b/>
                <w:bCs/>
                <w:sz w:val="18"/>
                <w:szCs w:val="18"/>
                <w:lang w:val="en-US" w:eastAsia="zh-CN"/>
              </w:rPr>
              <w:t>总得分</w:t>
            </w:r>
          </w:p>
        </w:tc>
        <w:tc>
          <w:tcPr>
            <w:tcW w:w="3804" w:type="dxa"/>
            <w:gridSpan w:val="2"/>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r>
    </w:tbl>
    <w:p>
      <w:pPr>
        <w:widowControl w:val="0"/>
        <w:numPr>
          <w:ilvl w:val="1"/>
          <w:numId w:val="0"/>
        </w:numPr>
        <w:spacing w:before="312" w:beforeLines="100" w:after="156" w:afterLines="50"/>
        <w:jc w:val="left"/>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C.6 评价结论</w:t>
      </w:r>
    </w:p>
    <w:p>
      <w:pPr>
        <w:pStyle w:val="24"/>
        <w:rPr>
          <w:rFonts w:ascii="Times New Roman"/>
        </w:rPr>
      </w:pPr>
      <w:r>
        <w:rPr>
          <w:rFonts w:ascii="Times New Roman"/>
        </w:rPr>
        <w:t>说明绿色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认定评价结论以及后续值得关注的可能影响环境风险控制的重大影响因素。</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C.7  附录</w:t>
      </w:r>
    </w:p>
    <w:p>
      <w:pPr>
        <w:pStyle w:val="24"/>
        <w:ind w:firstLine="420" w:firstLineChars="200"/>
        <w:rPr>
          <w:rFonts w:hint="eastAsia"/>
          <w:szCs w:val="24"/>
        </w:rPr>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r>
        <w:rPr>
          <w:rFonts w:ascii="Times New Roman"/>
        </w:rPr>
        <w:t>列明上述章节所述情况及</w:t>
      </w:r>
      <w:r>
        <w:rPr>
          <w:rFonts w:hint="eastAsia" w:ascii="Times New Roman"/>
        </w:rPr>
        <w:t>评价</w:t>
      </w:r>
      <w:r>
        <w:rPr>
          <w:rFonts w:ascii="Times New Roman"/>
        </w:rPr>
        <w:t>表涉及的佐证材</w:t>
      </w:r>
      <w:r>
        <w:rPr>
          <w:rFonts w:hint="eastAsia" w:ascii="Times New Roman"/>
          <w:lang w:eastAsia="zh-CN"/>
        </w:rPr>
        <w:t>。</w:t>
      </w:r>
    </w:p>
    <w:p>
      <w:pPr>
        <w:pStyle w:val="73"/>
        <w:rPr>
          <w:rFonts w:ascii="Times New Roman"/>
        </w:rPr>
      </w:pPr>
      <w:bookmarkStart w:id="146" w:name="_Toc102992471"/>
      <w:bookmarkStart w:id="147" w:name="_Toc118282052"/>
      <w:bookmarkStart w:id="148" w:name="_Toc27187"/>
      <w:bookmarkStart w:id="149" w:name="_Toc19255"/>
      <w:r>
        <w:rPr>
          <w:rFonts w:ascii="Times New Roman"/>
        </w:rPr>
        <w:t>参 考 文 献</w:t>
      </w:r>
      <w:bookmarkEnd w:id="141"/>
      <w:bookmarkEnd w:id="146"/>
      <w:bookmarkEnd w:id="147"/>
      <w:bookmarkEnd w:id="148"/>
      <w:bookmarkEnd w:id="149"/>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lang w:val="en-US" w:eastAsia="zh-CN"/>
        </w:rPr>
        <w:t xml:space="preserve"> </w:t>
      </w:r>
      <w:r>
        <w:rPr>
          <w:rFonts w:ascii="宋体" w:hAnsi="宋体" w:cs="宋体"/>
          <w:sz w:val="21"/>
        </w:rPr>
        <w:t>国家统计局.关于印发《研究与试验发展（R&amp;D）投入统计规范（试行）》的通知[EB/OL].</w:t>
      </w:r>
      <w:r>
        <w:rPr>
          <w:rFonts w:hint="eastAsia" w:ascii="宋体" w:hAnsi="宋体" w:cs="宋体"/>
          <w:sz w:val="21"/>
          <w:lang w:eastAsia="zh-CN"/>
        </w:rPr>
        <w:t>（2019-04-19）</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].http://www.stats.gov.cn/tjgz/tzgb/201905/t20190507_1663326.html.</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rPr>
      </w:pPr>
      <w:r>
        <w:rPr>
          <w:rFonts w:ascii="宋体" w:hAnsi="宋体" w:cs="宋体"/>
          <w:sz w:val="21"/>
        </w:rPr>
        <w:t xml:space="preserve"> 国家统计局.关于印发《统计上大中小微型企业划分办法(2017)》的通知[EB/OL].</w:t>
      </w:r>
      <w:r>
        <w:rPr>
          <w:rFonts w:hint="eastAsia" w:ascii="宋体" w:hAnsi="宋体" w:cs="宋体"/>
          <w:sz w:val="21"/>
          <w:lang w:eastAsia="zh-CN"/>
        </w:rPr>
        <w:t>（2017-12-28）</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].http://www.stats.gov.cn/xxgk/tjbz/gjtjbz/202008/t20200811_1782335.html.</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sz w:val="21"/>
        </w:rPr>
      </w:pPr>
      <w:r>
        <w:rPr>
          <w:rFonts w:hint="eastAsia" w:ascii="宋体" w:hAnsi="宋体" w:cs="宋体"/>
          <w:sz w:val="21"/>
          <w:lang w:val="en-US" w:eastAsia="zh-CN"/>
        </w:rPr>
        <w:t xml:space="preserve"> </w:t>
      </w:r>
      <w:r>
        <w:rPr>
          <w:rFonts w:ascii="宋体" w:hAnsi="宋体" w:cs="宋体"/>
          <w:sz w:val="21"/>
        </w:rPr>
        <w:t>科技部 财政部 国家税务总局</w:t>
      </w:r>
      <w:r>
        <w:rPr>
          <w:rFonts w:hint="eastAsia" w:ascii="宋体" w:hAnsi="宋体" w:cs="宋体"/>
          <w:sz w:val="21"/>
        </w:rPr>
        <w:t>.</w:t>
      </w:r>
      <w:r>
        <w:rPr>
          <w:rFonts w:ascii="宋体" w:hAnsi="宋体" w:cs="宋体"/>
          <w:sz w:val="21"/>
        </w:rPr>
        <w:t>关于修订印发《高新技术企业认定管理办法》的通知</w:t>
      </w:r>
      <w:r>
        <w:rPr>
          <w:rFonts w:hint="eastAsia" w:ascii="宋体" w:hAnsi="宋体" w:cs="宋体"/>
          <w:sz w:val="21"/>
        </w:rPr>
        <w:t>[EB/OL].</w:t>
      </w:r>
      <w:r>
        <w:rPr>
          <w:rFonts w:hint="eastAsia" w:ascii="宋体" w:hAnsi="宋体" w:cs="宋体"/>
          <w:sz w:val="21"/>
          <w:lang w:eastAsia="zh-CN"/>
        </w:rPr>
        <w:t>（2016-02-04）</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].https://www.most.gov.cn/xxgk/xinxifenlei/fdzdgknr/fgzc/gfxwj/gfxwj2016/201602/t20160205_123998.html.</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sz w:val="21"/>
        </w:rPr>
      </w:pPr>
      <w:r>
        <w:rPr>
          <w:rFonts w:hint="eastAsia"/>
          <w:sz w:val="21"/>
        </w:rPr>
        <w:t xml:space="preserve"> </w:t>
      </w:r>
      <w:r>
        <w:rPr>
          <w:rFonts w:hint="eastAsia" w:ascii="宋体" w:hAnsi="宋体" w:cs="宋体"/>
          <w:sz w:val="21"/>
        </w:rPr>
        <w:t>工业和信息化部.关于印发《优质中小企业梯度培育管理暂行办法》的通知[EB/OL].</w:t>
      </w:r>
      <w:r>
        <w:rPr>
          <w:rFonts w:hint="eastAsia" w:ascii="宋体" w:hAnsi="宋体" w:cs="宋体"/>
          <w:sz w:val="21"/>
          <w:lang w:eastAsia="zh-CN"/>
        </w:rPr>
        <w:t>（2022-06-01）</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].https://ythxxfb.miit.gov.cn/ythzxfwpt/hlwmh/tzgg/sbfw/qyshzr/art/2022/art_7e837e1f401c43a2990d82cf36b624bb.html.</w:t>
      </w:r>
    </w:p>
    <w:p>
      <w:pPr>
        <w:pStyle w:val="24"/>
        <w:keepNext w:val="0"/>
        <w:keepLines w:val="0"/>
        <w:pageBreakBefore w:val="0"/>
        <w:numPr>
          <w:ilvl w:val="0"/>
          <w:numId w:val="20"/>
        </w:numPr>
        <w:kinsoku/>
        <w:wordWrap w:val="0"/>
        <w:overflowPunct/>
        <w:topLinePunct w:val="0"/>
        <w:autoSpaceDE w:val="0"/>
        <w:autoSpaceDN w:val="0"/>
        <w:bidi w:val="0"/>
        <w:adjustRightInd/>
        <w:snapToGrid/>
        <w:ind w:firstLineChars="0"/>
        <w:jc w:val="left"/>
        <w:textAlignment w:val="auto"/>
        <w:rPr>
          <w:rFonts w:hint="eastAsia" w:ascii="宋体" w:hAnsi="宋体" w:cs="宋体"/>
          <w:sz w:val="21"/>
        </w:rPr>
      </w:pPr>
      <w:r>
        <w:rPr>
          <w:rFonts w:hint="eastAsia"/>
          <w:sz w:val="21"/>
        </w:rPr>
        <w:t xml:space="preserve"> </w:t>
      </w:r>
      <w:r>
        <w:rPr>
          <w:rFonts w:hint="eastAsia" w:hAnsi="宋体" w:cs="宋体"/>
          <w:sz w:val="21"/>
        </w:rPr>
        <w:t>深圳市市场监督管理局.关于印发《深圳市市场监督管理局深圳标准领域专项资金资助奖励操作规程》的通知[EB/OL].</w:t>
      </w:r>
      <w:r>
        <w:rPr>
          <w:rFonts w:hint="eastAsia" w:hAnsi="宋体" w:cs="宋体"/>
          <w:sz w:val="21"/>
          <w:lang w:eastAsia="zh-CN"/>
        </w:rPr>
        <w:t>（2021-11-22）</w:t>
      </w:r>
      <w:r>
        <w:rPr>
          <w:rFonts w:hint="eastAsia" w:hAnsi="宋体" w:cs="宋体"/>
          <w:sz w:val="21"/>
        </w:rPr>
        <w:t>[20</w:t>
      </w:r>
      <w:r>
        <w:rPr>
          <w:rFonts w:hint="eastAsia" w:hAnsi="宋体" w:cs="宋体"/>
          <w:sz w:val="21"/>
          <w:lang w:val="en-US" w:eastAsia="zh-CN"/>
        </w:rPr>
        <w:t>23</w:t>
      </w:r>
      <w:r>
        <w:rPr>
          <w:rFonts w:hint="eastAsia" w:hAnsi="宋体" w:cs="宋体"/>
          <w:sz w:val="21"/>
        </w:rPr>
        <w:t>-0</w:t>
      </w:r>
      <w:r>
        <w:rPr>
          <w:rFonts w:hint="eastAsia" w:hAnsi="宋体" w:cs="宋体"/>
          <w:sz w:val="21"/>
          <w:lang w:val="en-US" w:eastAsia="zh-CN"/>
        </w:rPr>
        <w:t>1</w:t>
      </w:r>
      <w:r>
        <w:rPr>
          <w:rFonts w:hint="eastAsia" w:hAnsi="宋体" w:cs="宋体"/>
          <w:sz w:val="21"/>
        </w:rPr>
        <w:t>-</w:t>
      </w:r>
      <w:r>
        <w:rPr>
          <w:rFonts w:hint="eastAsia" w:hAnsi="宋体" w:cs="宋体"/>
          <w:sz w:val="21"/>
          <w:lang w:val="en-US" w:eastAsia="zh-CN"/>
        </w:rPr>
        <w:t>16</w:t>
      </w:r>
      <w:r>
        <w:rPr>
          <w:rFonts w:hint="eastAsia" w:hAnsi="宋体" w:cs="宋体"/>
          <w:sz w:val="21"/>
        </w:rPr>
        <w:t>].http://amr.sz.gov.cn/xxgk/zcwj/scjgfg/bzh/bzhgf/content</w:t>
      </w:r>
      <w:r>
        <w:rPr>
          <w:rFonts w:hint="eastAsia" w:ascii="宋体" w:hAnsi="宋体" w:cs="宋体"/>
          <w:sz w:val="21"/>
        </w:rPr>
        <w:t>/post_9386928.html.</w:t>
      </w:r>
    </w:p>
    <w:p>
      <w:pPr>
        <w:pStyle w:val="24"/>
        <w:keepNext w:val="0"/>
        <w:keepLines w:val="0"/>
        <w:pageBreakBefore w:val="0"/>
        <w:numPr>
          <w:ilvl w:val="0"/>
          <w:numId w:val="20"/>
        </w:numPr>
        <w:kinsoku/>
        <w:wordWrap w:val="0"/>
        <w:overflowPunct/>
        <w:topLinePunct w:val="0"/>
        <w:autoSpaceDE w:val="0"/>
        <w:autoSpaceDN w:val="0"/>
        <w:bidi w:val="0"/>
        <w:adjustRightInd/>
        <w:snapToGrid/>
        <w:ind w:firstLineChars="0"/>
        <w:jc w:val="left"/>
        <w:textAlignment w:val="auto"/>
        <w:rPr>
          <w:rFonts w:hint="eastAsia"/>
          <w:sz w:val="21"/>
        </w:rPr>
      </w:pPr>
      <w:r>
        <w:rPr>
          <w:rFonts w:hint="eastAsia"/>
          <w:sz w:val="21"/>
          <w:lang w:val="en-US" w:eastAsia="zh-CN"/>
        </w:rPr>
        <w:t xml:space="preserve"> </w:t>
      </w:r>
      <w:r>
        <w:rPr>
          <w:rFonts w:hint="eastAsia"/>
          <w:sz w:val="21"/>
        </w:rPr>
        <w:t>裴庆冰,谷立静,白泉.绿色发展背景下绿色产业内涵探析[J].环境保护,2018,46(Z1):86-89.DOI:10.14026/j.cnki.0253-9705.2018.z1.017.</w:t>
      </w:r>
    </w:p>
    <w:p>
      <w:pPr>
        <w:pStyle w:val="24"/>
        <w:keepNext w:val="0"/>
        <w:keepLines w:val="0"/>
        <w:pageBreakBefore w:val="0"/>
        <w:numPr>
          <w:ilvl w:val="0"/>
          <w:numId w:val="20"/>
        </w:numPr>
        <w:kinsoku/>
        <w:wordWrap w:val="0"/>
        <w:overflowPunct/>
        <w:topLinePunct w:val="0"/>
        <w:autoSpaceDE w:val="0"/>
        <w:autoSpaceDN w:val="0"/>
        <w:bidi w:val="0"/>
        <w:adjustRightInd/>
        <w:snapToGrid/>
        <w:ind w:firstLineChars="0"/>
        <w:jc w:val="left"/>
        <w:textAlignment w:val="auto"/>
        <w:rPr>
          <w:sz w:val="21"/>
        </w:rPr>
      </w:pPr>
      <w:r>
        <w:rPr>
          <w:rFonts w:hint="eastAsia"/>
          <w:sz w:val="21"/>
          <w:lang w:val="en-US" w:eastAsia="zh-CN"/>
        </w:rPr>
        <w:t xml:space="preserve"> </w:t>
      </w:r>
      <w:r>
        <w:rPr>
          <w:sz w:val="21"/>
        </w:rPr>
        <w:t>工业和信息化部</w:t>
      </w:r>
      <w:r>
        <w:rPr>
          <w:rFonts w:hint="eastAsia"/>
          <w:sz w:val="21"/>
          <w:lang w:val="en-US" w:eastAsia="zh-CN"/>
        </w:rPr>
        <w:t>.中华人民共和国工业和信息化部公告：2021年</w:t>
      </w:r>
      <w:r>
        <w:rPr>
          <w:rFonts w:hint="eastAsia"/>
          <w:sz w:val="21"/>
        </w:rPr>
        <w:t>公告第5号[EB/OL].</w:t>
      </w:r>
      <w:r>
        <w:rPr>
          <w:rFonts w:hint="eastAsia"/>
          <w:sz w:val="21"/>
          <w:lang w:eastAsia="zh-CN"/>
        </w:rPr>
        <w:t>（2021-</w:t>
      </w:r>
      <w:r>
        <w:rPr>
          <w:rFonts w:hint="eastAsia"/>
          <w:sz w:val="21"/>
          <w:lang w:val="en-US" w:eastAsia="zh-CN"/>
        </w:rPr>
        <w:t>03</w:t>
      </w:r>
      <w:r>
        <w:rPr>
          <w:rFonts w:hint="eastAsia"/>
          <w:sz w:val="21"/>
          <w:lang w:eastAsia="zh-CN"/>
        </w:rPr>
        <w:t>-</w:t>
      </w:r>
      <w:r>
        <w:rPr>
          <w:rFonts w:hint="eastAsia"/>
          <w:sz w:val="21"/>
          <w:lang w:val="en-US" w:eastAsia="zh-CN"/>
        </w:rPr>
        <w:t>11</w:t>
      </w:r>
      <w:r>
        <w:rPr>
          <w:rFonts w:hint="eastAsia"/>
          <w:sz w:val="21"/>
          <w:lang w:eastAsia="zh-CN"/>
        </w:rPr>
        <w:t>）</w:t>
      </w:r>
      <w:r>
        <w:rPr>
          <w:rFonts w:hint="eastAsia"/>
          <w:sz w:val="21"/>
        </w:rPr>
        <w:t>[20</w:t>
      </w:r>
      <w:r>
        <w:rPr>
          <w:rFonts w:hint="eastAsia"/>
          <w:sz w:val="21"/>
          <w:lang w:val="en-US" w:eastAsia="zh-CN"/>
        </w:rPr>
        <w:t>23</w:t>
      </w:r>
      <w:r>
        <w:rPr>
          <w:rFonts w:hint="eastAsia"/>
          <w:sz w:val="21"/>
        </w:rPr>
        <w:t>-0</w:t>
      </w:r>
      <w:r>
        <w:rPr>
          <w:rFonts w:hint="eastAsia"/>
          <w:sz w:val="21"/>
          <w:lang w:val="en-US" w:eastAsia="zh-CN"/>
        </w:rPr>
        <w:t>1</w:t>
      </w:r>
      <w:r>
        <w:rPr>
          <w:rFonts w:hint="eastAsia"/>
          <w:sz w:val="21"/>
        </w:rPr>
        <w:t>-</w:t>
      </w:r>
      <w:r>
        <w:rPr>
          <w:rFonts w:hint="eastAsia"/>
          <w:sz w:val="21"/>
          <w:lang w:val="en-US" w:eastAsia="zh-CN"/>
        </w:rPr>
        <w:t>16</w:t>
      </w:r>
      <w:r>
        <w:rPr>
          <w:rFonts w:hint="eastAsia"/>
          <w:sz w:val="21"/>
        </w:rPr>
        <w:t>].https://www.miit.gov.cn/jgsj/dzs/wjfb/art/2021/art_f4ad5ce6359a457395cfe931c69bd777.html.</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36132—2018  绿色工厂评价通则</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39966—2021  废弃资源综合利用业环境绩效评价导则</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DB 3305/T 62—2018  绿色融资企业评价规范</w:t>
      </w:r>
    </w:p>
    <w:p>
      <w:pPr>
        <w:keepNext w:val="0"/>
        <w:keepLines w:val="0"/>
        <w:pageBreakBefore w:val="0"/>
        <w:numPr>
          <w:ilvl w:val="0"/>
          <w:numId w:val="20"/>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rPr>
        <w:t xml:space="preserve"> DB 3308/T 69—2020</w:t>
      </w:r>
      <w:r>
        <w:rPr>
          <w:rFonts w:hint="eastAsia" w:ascii="宋体" w:hAnsi="宋体" w:cs="宋体"/>
          <w:sz w:val="21"/>
          <w:highlight w:val="none"/>
        </w:rPr>
        <w:t xml:space="preserve">  绿色企业评价规范</w:t>
      </w:r>
    </w:p>
    <w:p>
      <w:pPr>
        <w:pStyle w:val="24"/>
        <w:keepNext w:val="0"/>
        <w:keepLines w:val="0"/>
        <w:pageBreakBefore w:val="0"/>
        <w:numPr>
          <w:ilvl w:val="0"/>
          <w:numId w:val="20"/>
        </w:numPr>
        <w:kinsoku/>
        <w:wordWrap w:val="0"/>
        <w:overflowPunct/>
        <w:topLinePunct w:val="0"/>
        <w:autoSpaceDE w:val="0"/>
        <w:autoSpaceDN w:val="0"/>
        <w:bidi w:val="0"/>
        <w:adjustRightInd/>
        <w:snapToGrid/>
        <w:ind w:firstLineChars="0"/>
        <w:textAlignment w:val="auto"/>
        <w:rPr>
          <w:rFonts w:ascii="Times New Roman"/>
          <w:highlight w:val="none"/>
        </w:rPr>
      </w:pPr>
      <w:r>
        <w:rPr>
          <w:rFonts w:hint="eastAsia" w:hAnsi="宋体" w:cs="宋体"/>
          <w:sz w:val="21"/>
          <w:highlight w:val="none"/>
        </w:rPr>
        <w:t xml:space="preserve"> T/CGDF 00002—2018  绿色企业评选标准</w:t>
      </w:r>
    </w:p>
    <w:p>
      <w:pPr>
        <w:pStyle w:val="24"/>
        <w:numPr>
          <w:ilvl w:val="-1"/>
          <w:numId w:val="0"/>
        </w:numPr>
        <w:ind w:firstLine="0" w:firstLineChars="0"/>
        <w:rPr>
          <w:rFonts w:ascii="Times New Roman"/>
        </w:rPr>
      </w:pPr>
    </w:p>
    <w:p>
      <w:pPr>
        <w:pStyle w:val="131"/>
        <w:framePr w:wrap="notBeside" w:hAnchor="page" w:x="4898" w:y="496"/>
        <w:rPr>
          <w:u w:val="thick"/>
        </w:rPr>
      </w:pPr>
      <w:r>
        <w:rPr>
          <w:u w:val="thick"/>
        </w:rPr>
        <w:t>______________________</w:t>
      </w:r>
    </w:p>
    <w:p>
      <w:pPr>
        <w:pStyle w:val="24"/>
        <w:ind w:firstLine="0" w:firstLineChars="0"/>
        <w:jc w:val="center"/>
        <w:rPr>
          <w:rFonts w:ascii="Times New Roman"/>
        </w:rPr>
      </w:pPr>
    </w:p>
    <w:p/>
    <w:p/>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fldChar w:fldCharType="begin"/>
    </w:r>
    <w:r>
      <w:instrText xml:space="preserve"> PAGE  \* MERGEFORMAT </w:instrText>
    </w:r>
    <w:r>
      <w:fldChar w:fldCharType="separate"/>
    </w:r>
    <w: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 xml:space="preserve">DB4403/T </w:t>
    </w:r>
    <w:r>
      <w:rPr>
        <w:rFonts w:hint="eastAsia"/>
      </w:rPr>
      <w:t>XXX</w:t>
    </w:r>
    <w:r>
      <w:t>—20</w:t>
    </w:r>
    <w:r>
      <w:rPr>
        <w:rFonts w:hint="eastAsia"/>
      </w:rPr>
      <w:t>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4E6BB"/>
    <w:multiLevelType w:val="singleLevel"/>
    <w:tmpl w:val="A884E6BB"/>
    <w:lvl w:ilvl="0" w:tentative="0">
      <w:start w:val="1"/>
      <w:numFmt w:val="decimal"/>
      <w:suff w:val="nothing"/>
      <w:lvlText w:val="（%1）"/>
      <w:lvlJc w:val="left"/>
    </w:lvl>
  </w:abstractNum>
  <w:abstractNum w:abstractNumId="1">
    <w:nsid w:val="079102AD"/>
    <w:multiLevelType w:val="multilevel"/>
    <w:tmpl w:val="079102AD"/>
    <w:lvl w:ilvl="0" w:tentative="0">
      <w:start w:val="1"/>
      <w:numFmt w:val="decimal"/>
      <w:pStyle w:val="60"/>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2">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3">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983844"/>
    <w:multiLevelType w:val="multilevel"/>
    <w:tmpl w:val="0D983844"/>
    <w:lvl w:ilvl="0" w:tentative="0">
      <w:start w:val="1"/>
      <w:numFmt w:val="decimal"/>
      <w:pStyle w:val="130"/>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6">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8">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9">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0">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3">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5">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59"/>
      <w:suff w:val="nothing"/>
      <w:lvlText w:val="%1注："/>
      <w:lvlJc w:val="left"/>
      <w:pPr>
        <w:ind w:left="726" w:hanging="363"/>
      </w:pPr>
      <w:rPr>
        <w:rFonts w:hint="default" w:ascii="黑体" w:hAnsi="Times New Roman" w:eastAsia="黑体"/>
        <w:b w:val="0"/>
        <w:i w:val="0"/>
        <w:sz w:val="18"/>
        <w:highlight w:val="none"/>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2"/>
  </w:num>
  <w:num w:numId="2">
    <w:abstractNumId w:val="8"/>
  </w:num>
  <w:num w:numId="3">
    <w:abstractNumId w:val="11"/>
  </w:num>
  <w:num w:numId="4">
    <w:abstractNumId w:val="4"/>
  </w:num>
  <w:num w:numId="5">
    <w:abstractNumId w:val="13"/>
  </w:num>
  <w:num w:numId="6">
    <w:abstractNumId w:val="19"/>
  </w:num>
  <w:num w:numId="7">
    <w:abstractNumId w:val="1"/>
  </w:num>
  <w:num w:numId="8">
    <w:abstractNumId w:val="14"/>
  </w:num>
  <w:num w:numId="9">
    <w:abstractNumId w:val="9"/>
  </w:num>
  <w:num w:numId="10">
    <w:abstractNumId w:val="7"/>
  </w:num>
  <w:num w:numId="11">
    <w:abstractNumId w:val="17"/>
  </w:num>
  <w:num w:numId="12">
    <w:abstractNumId w:val="15"/>
  </w:num>
  <w:num w:numId="13">
    <w:abstractNumId w:val="18"/>
  </w:num>
  <w:num w:numId="14">
    <w:abstractNumId w:val="10"/>
  </w:num>
  <w:num w:numId="15">
    <w:abstractNumId w:val="3"/>
  </w:num>
  <w:num w:numId="16">
    <w:abstractNumId w:val="6"/>
  </w:num>
  <w:num w:numId="17">
    <w:abstractNumId w:val="16"/>
  </w:num>
  <w:num w:numId="18">
    <w:abstractNumId w:val="5"/>
  </w:num>
  <w:num w:numId="19">
    <w:abstractNumId w:val="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E08"/>
    <w:rsid w:val="000A74B2"/>
    <w:rsid w:val="000A76ED"/>
    <w:rsid w:val="000B0077"/>
    <w:rsid w:val="000B0D77"/>
    <w:rsid w:val="000B1515"/>
    <w:rsid w:val="000B28C1"/>
    <w:rsid w:val="000B3143"/>
    <w:rsid w:val="000B4064"/>
    <w:rsid w:val="000B44E8"/>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EAB"/>
    <w:rsid w:val="00140C38"/>
    <w:rsid w:val="0014163F"/>
    <w:rsid w:val="00141F35"/>
    <w:rsid w:val="00143D18"/>
    <w:rsid w:val="00145A77"/>
    <w:rsid w:val="00146EEB"/>
    <w:rsid w:val="0014710E"/>
    <w:rsid w:val="001472AA"/>
    <w:rsid w:val="00147DBF"/>
    <w:rsid w:val="00147FB0"/>
    <w:rsid w:val="0015047D"/>
    <w:rsid w:val="00151022"/>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72D8"/>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275A"/>
    <w:rsid w:val="00453611"/>
    <w:rsid w:val="00453F9A"/>
    <w:rsid w:val="00455F28"/>
    <w:rsid w:val="004568A6"/>
    <w:rsid w:val="00456988"/>
    <w:rsid w:val="00457105"/>
    <w:rsid w:val="00460AD5"/>
    <w:rsid w:val="0046108D"/>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8E8"/>
    <w:rsid w:val="004809E1"/>
    <w:rsid w:val="00484364"/>
    <w:rsid w:val="004854BB"/>
    <w:rsid w:val="00485DCB"/>
    <w:rsid w:val="00487FF3"/>
    <w:rsid w:val="00490AA4"/>
    <w:rsid w:val="0049165A"/>
    <w:rsid w:val="00491D81"/>
    <w:rsid w:val="00493692"/>
    <w:rsid w:val="00493699"/>
    <w:rsid w:val="00494CF2"/>
    <w:rsid w:val="00495290"/>
    <w:rsid w:val="00495889"/>
    <w:rsid w:val="0049662E"/>
    <w:rsid w:val="00497A1B"/>
    <w:rsid w:val="00497D41"/>
    <w:rsid w:val="00497EEE"/>
    <w:rsid w:val="004A09C2"/>
    <w:rsid w:val="004A0D7F"/>
    <w:rsid w:val="004A2F78"/>
    <w:rsid w:val="004A3120"/>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4080A"/>
    <w:rsid w:val="0054145C"/>
    <w:rsid w:val="0054264B"/>
    <w:rsid w:val="00542D62"/>
    <w:rsid w:val="00543786"/>
    <w:rsid w:val="00543DB0"/>
    <w:rsid w:val="005440E0"/>
    <w:rsid w:val="00545804"/>
    <w:rsid w:val="00545F3A"/>
    <w:rsid w:val="005467C0"/>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89A"/>
    <w:rsid w:val="005E5121"/>
    <w:rsid w:val="005E7D94"/>
    <w:rsid w:val="005F0D35"/>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E34"/>
    <w:rsid w:val="00624EDB"/>
    <w:rsid w:val="00625DB1"/>
    <w:rsid w:val="0062628F"/>
    <w:rsid w:val="00631A78"/>
    <w:rsid w:val="00631D28"/>
    <w:rsid w:val="00631E5B"/>
    <w:rsid w:val="00632E56"/>
    <w:rsid w:val="00632E5A"/>
    <w:rsid w:val="006339F0"/>
    <w:rsid w:val="00633A50"/>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2504"/>
    <w:rsid w:val="006D28A9"/>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26D7"/>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7D49"/>
    <w:rsid w:val="00780071"/>
    <w:rsid w:val="00780963"/>
    <w:rsid w:val="007814B7"/>
    <w:rsid w:val="00783100"/>
    <w:rsid w:val="007832A9"/>
    <w:rsid w:val="007844E6"/>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A63"/>
    <w:rsid w:val="0079680C"/>
    <w:rsid w:val="007A09A4"/>
    <w:rsid w:val="007A0D87"/>
    <w:rsid w:val="007A0E21"/>
    <w:rsid w:val="007A1C03"/>
    <w:rsid w:val="007A2CA7"/>
    <w:rsid w:val="007A36FF"/>
    <w:rsid w:val="007A483E"/>
    <w:rsid w:val="007A5CC8"/>
    <w:rsid w:val="007A6CAA"/>
    <w:rsid w:val="007B1625"/>
    <w:rsid w:val="007B194A"/>
    <w:rsid w:val="007B1B55"/>
    <w:rsid w:val="007B1F56"/>
    <w:rsid w:val="007B351D"/>
    <w:rsid w:val="007B3681"/>
    <w:rsid w:val="007B5FAD"/>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733E"/>
    <w:rsid w:val="00827CB6"/>
    <w:rsid w:val="00830716"/>
    <w:rsid w:val="00833269"/>
    <w:rsid w:val="00834B43"/>
    <w:rsid w:val="00834E39"/>
    <w:rsid w:val="00835DB3"/>
    <w:rsid w:val="0083617B"/>
    <w:rsid w:val="008371BD"/>
    <w:rsid w:val="0083724E"/>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B42"/>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691F"/>
    <w:rsid w:val="008E7029"/>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3168"/>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8E3"/>
    <w:rsid w:val="00A0583E"/>
    <w:rsid w:val="00A05FE7"/>
    <w:rsid w:val="00A065F9"/>
    <w:rsid w:val="00A07BB9"/>
    <w:rsid w:val="00A07F34"/>
    <w:rsid w:val="00A110A0"/>
    <w:rsid w:val="00A13EA9"/>
    <w:rsid w:val="00A150B6"/>
    <w:rsid w:val="00A1584C"/>
    <w:rsid w:val="00A162B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539"/>
    <w:rsid w:val="00A8263F"/>
    <w:rsid w:val="00A826AC"/>
    <w:rsid w:val="00A826FA"/>
    <w:rsid w:val="00A8352F"/>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151"/>
    <w:rsid w:val="00B665C6"/>
    <w:rsid w:val="00B67063"/>
    <w:rsid w:val="00B67155"/>
    <w:rsid w:val="00B67AC5"/>
    <w:rsid w:val="00B70482"/>
    <w:rsid w:val="00B70D37"/>
    <w:rsid w:val="00B70DF4"/>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40E2"/>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C4C"/>
    <w:rsid w:val="00C4713B"/>
    <w:rsid w:val="00C478C5"/>
    <w:rsid w:val="00C502CF"/>
    <w:rsid w:val="00C51774"/>
    <w:rsid w:val="00C52B6B"/>
    <w:rsid w:val="00C577F5"/>
    <w:rsid w:val="00C601D2"/>
    <w:rsid w:val="00C61010"/>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1ABC"/>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7F"/>
    <w:rsid w:val="00DC10DE"/>
    <w:rsid w:val="00DC18C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5E04"/>
    <w:rsid w:val="00DF7081"/>
    <w:rsid w:val="00E00F14"/>
    <w:rsid w:val="00E01639"/>
    <w:rsid w:val="00E02801"/>
    <w:rsid w:val="00E03C38"/>
    <w:rsid w:val="00E04CDF"/>
    <w:rsid w:val="00E06386"/>
    <w:rsid w:val="00E07ABE"/>
    <w:rsid w:val="00E07C88"/>
    <w:rsid w:val="00E11C2A"/>
    <w:rsid w:val="00E11CCF"/>
    <w:rsid w:val="00E11F71"/>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5E4"/>
    <w:rsid w:val="00EA72CF"/>
    <w:rsid w:val="00EA72EC"/>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2BF9"/>
    <w:rsid w:val="00F43E5C"/>
    <w:rsid w:val="00F44267"/>
    <w:rsid w:val="00F44F36"/>
    <w:rsid w:val="00F458F9"/>
    <w:rsid w:val="00F4651D"/>
    <w:rsid w:val="00F46570"/>
    <w:rsid w:val="00F520AB"/>
    <w:rsid w:val="00F52D2E"/>
    <w:rsid w:val="00F52DAB"/>
    <w:rsid w:val="00F52E05"/>
    <w:rsid w:val="00F533EF"/>
    <w:rsid w:val="00F534FA"/>
    <w:rsid w:val="00F54079"/>
    <w:rsid w:val="00F543F0"/>
    <w:rsid w:val="00F54F6C"/>
    <w:rsid w:val="00F55087"/>
    <w:rsid w:val="00F56B35"/>
    <w:rsid w:val="00F57311"/>
    <w:rsid w:val="00F57A6F"/>
    <w:rsid w:val="00F57D68"/>
    <w:rsid w:val="00F60875"/>
    <w:rsid w:val="00F62D87"/>
    <w:rsid w:val="00F64569"/>
    <w:rsid w:val="00F649A1"/>
    <w:rsid w:val="00F66D76"/>
    <w:rsid w:val="00F67B30"/>
    <w:rsid w:val="00F67D39"/>
    <w:rsid w:val="00F70310"/>
    <w:rsid w:val="00F70582"/>
    <w:rsid w:val="00F70EBC"/>
    <w:rsid w:val="00F727C2"/>
    <w:rsid w:val="00F74087"/>
    <w:rsid w:val="00F756B8"/>
    <w:rsid w:val="00F76165"/>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F0460"/>
    <w:rsid w:val="00FF0B48"/>
    <w:rsid w:val="00FF0B73"/>
    <w:rsid w:val="00FF1456"/>
    <w:rsid w:val="00FF31A9"/>
    <w:rsid w:val="00FF37DB"/>
    <w:rsid w:val="00FF56A8"/>
    <w:rsid w:val="00FF6EB4"/>
    <w:rsid w:val="00FF7A7D"/>
    <w:rsid w:val="00FF7A7E"/>
    <w:rsid w:val="0204742C"/>
    <w:rsid w:val="029F4130"/>
    <w:rsid w:val="02AB1FCD"/>
    <w:rsid w:val="031B4284"/>
    <w:rsid w:val="032712EA"/>
    <w:rsid w:val="033863A8"/>
    <w:rsid w:val="03E0239E"/>
    <w:rsid w:val="03E46318"/>
    <w:rsid w:val="044459B0"/>
    <w:rsid w:val="044A7DD6"/>
    <w:rsid w:val="050F18E6"/>
    <w:rsid w:val="054D10EA"/>
    <w:rsid w:val="0598453C"/>
    <w:rsid w:val="05A351AD"/>
    <w:rsid w:val="06232261"/>
    <w:rsid w:val="06B976A3"/>
    <w:rsid w:val="07CD50A1"/>
    <w:rsid w:val="08872B64"/>
    <w:rsid w:val="08DD09B2"/>
    <w:rsid w:val="090D074B"/>
    <w:rsid w:val="0AF76B39"/>
    <w:rsid w:val="0B2A37F4"/>
    <w:rsid w:val="0B450182"/>
    <w:rsid w:val="0BB9732C"/>
    <w:rsid w:val="0CAE43B6"/>
    <w:rsid w:val="0DB137C5"/>
    <w:rsid w:val="0E204A31"/>
    <w:rsid w:val="0E402372"/>
    <w:rsid w:val="0E4445E9"/>
    <w:rsid w:val="0E484838"/>
    <w:rsid w:val="0E9633BA"/>
    <w:rsid w:val="0F0377C4"/>
    <w:rsid w:val="0F3C0933"/>
    <w:rsid w:val="0F63675F"/>
    <w:rsid w:val="0FEC0E5A"/>
    <w:rsid w:val="10453175"/>
    <w:rsid w:val="10A25DC2"/>
    <w:rsid w:val="10DB5C0D"/>
    <w:rsid w:val="114E1850"/>
    <w:rsid w:val="119414F7"/>
    <w:rsid w:val="11A51CF0"/>
    <w:rsid w:val="11FF22A6"/>
    <w:rsid w:val="125D575C"/>
    <w:rsid w:val="12AA5DA4"/>
    <w:rsid w:val="13412F41"/>
    <w:rsid w:val="13536972"/>
    <w:rsid w:val="137D3482"/>
    <w:rsid w:val="14605247"/>
    <w:rsid w:val="14622FC1"/>
    <w:rsid w:val="14C64F73"/>
    <w:rsid w:val="159F1212"/>
    <w:rsid w:val="15D55DDC"/>
    <w:rsid w:val="163B6E70"/>
    <w:rsid w:val="16793EEF"/>
    <w:rsid w:val="167A3ACC"/>
    <w:rsid w:val="1715758D"/>
    <w:rsid w:val="178A62F8"/>
    <w:rsid w:val="17A52F8A"/>
    <w:rsid w:val="184075AC"/>
    <w:rsid w:val="18954E2A"/>
    <w:rsid w:val="18A137C7"/>
    <w:rsid w:val="18AF41A2"/>
    <w:rsid w:val="18DC2535"/>
    <w:rsid w:val="19BF5263"/>
    <w:rsid w:val="19E73930"/>
    <w:rsid w:val="1AF77413"/>
    <w:rsid w:val="1B007F1A"/>
    <w:rsid w:val="1B177D78"/>
    <w:rsid w:val="1BF54CD5"/>
    <w:rsid w:val="1C2342B8"/>
    <w:rsid w:val="1C2F4C4D"/>
    <w:rsid w:val="1C6E3C9B"/>
    <w:rsid w:val="1C6F7CCB"/>
    <w:rsid w:val="1CDB1CDB"/>
    <w:rsid w:val="1D5F0324"/>
    <w:rsid w:val="1DB47B00"/>
    <w:rsid w:val="1DC15BB7"/>
    <w:rsid w:val="1E4E1A62"/>
    <w:rsid w:val="1E95700C"/>
    <w:rsid w:val="1F40308E"/>
    <w:rsid w:val="1F472262"/>
    <w:rsid w:val="1FCB54A6"/>
    <w:rsid w:val="1FF14949"/>
    <w:rsid w:val="201E0DB2"/>
    <w:rsid w:val="205C3E85"/>
    <w:rsid w:val="211D601B"/>
    <w:rsid w:val="21B079AA"/>
    <w:rsid w:val="21C94D14"/>
    <w:rsid w:val="220C05CD"/>
    <w:rsid w:val="221411C4"/>
    <w:rsid w:val="225A1705"/>
    <w:rsid w:val="225B68F3"/>
    <w:rsid w:val="22FA76A9"/>
    <w:rsid w:val="23582CDC"/>
    <w:rsid w:val="23B04424"/>
    <w:rsid w:val="23B047DA"/>
    <w:rsid w:val="24217795"/>
    <w:rsid w:val="24BA637B"/>
    <w:rsid w:val="251C53CB"/>
    <w:rsid w:val="252E3B0A"/>
    <w:rsid w:val="26530D33"/>
    <w:rsid w:val="26CA3C25"/>
    <w:rsid w:val="270C275B"/>
    <w:rsid w:val="272C23FA"/>
    <w:rsid w:val="276A495A"/>
    <w:rsid w:val="284D3257"/>
    <w:rsid w:val="295976A1"/>
    <w:rsid w:val="29730A6A"/>
    <w:rsid w:val="2A1C5CBB"/>
    <w:rsid w:val="2A753876"/>
    <w:rsid w:val="2A996C08"/>
    <w:rsid w:val="2AD5250D"/>
    <w:rsid w:val="2B6B4C7E"/>
    <w:rsid w:val="2B6D1979"/>
    <w:rsid w:val="2C1A5641"/>
    <w:rsid w:val="2CD87AC9"/>
    <w:rsid w:val="2D5012D2"/>
    <w:rsid w:val="2D5239AB"/>
    <w:rsid w:val="2D527E4D"/>
    <w:rsid w:val="2D7352E2"/>
    <w:rsid w:val="2D7766FA"/>
    <w:rsid w:val="2D8E1801"/>
    <w:rsid w:val="2E431935"/>
    <w:rsid w:val="2EBC77DC"/>
    <w:rsid w:val="2ED7364E"/>
    <w:rsid w:val="2F911A4F"/>
    <w:rsid w:val="2FDA38B8"/>
    <w:rsid w:val="30044FAD"/>
    <w:rsid w:val="313B622E"/>
    <w:rsid w:val="315504D1"/>
    <w:rsid w:val="317C5755"/>
    <w:rsid w:val="32340DB8"/>
    <w:rsid w:val="324361A3"/>
    <w:rsid w:val="324E3C27"/>
    <w:rsid w:val="327A33B7"/>
    <w:rsid w:val="32911EEE"/>
    <w:rsid w:val="32D66D21"/>
    <w:rsid w:val="32F07FE6"/>
    <w:rsid w:val="33261FCC"/>
    <w:rsid w:val="33465323"/>
    <w:rsid w:val="33491A3C"/>
    <w:rsid w:val="33F20F2A"/>
    <w:rsid w:val="348322B5"/>
    <w:rsid w:val="348F0527"/>
    <w:rsid w:val="34CA7860"/>
    <w:rsid w:val="35143F5C"/>
    <w:rsid w:val="35E66C42"/>
    <w:rsid w:val="36AA4C29"/>
    <w:rsid w:val="37285E75"/>
    <w:rsid w:val="372A2284"/>
    <w:rsid w:val="372D1AA0"/>
    <w:rsid w:val="37F93C55"/>
    <w:rsid w:val="396E1A8A"/>
    <w:rsid w:val="3A622CBE"/>
    <w:rsid w:val="3A6E6C6A"/>
    <w:rsid w:val="3A8E7CF0"/>
    <w:rsid w:val="3AEA44E5"/>
    <w:rsid w:val="3B09455A"/>
    <w:rsid w:val="3BBB1B47"/>
    <w:rsid w:val="3BE4702D"/>
    <w:rsid w:val="3C3A346E"/>
    <w:rsid w:val="3C5F339E"/>
    <w:rsid w:val="3C6D51CF"/>
    <w:rsid w:val="3C893C3F"/>
    <w:rsid w:val="3C940DD1"/>
    <w:rsid w:val="3C9D7BC1"/>
    <w:rsid w:val="3CB971A8"/>
    <w:rsid w:val="3D5C18C8"/>
    <w:rsid w:val="3D7071F9"/>
    <w:rsid w:val="3D8726E3"/>
    <w:rsid w:val="3DBE7CA0"/>
    <w:rsid w:val="3DDB6F2B"/>
    <w:rsid w:val="3DF17F22"/>
    <w:rsid w:val="3E10477F"/>
    <w:rsid w:val="3E542E5E"/>
    <w:rsid w:val="3F1E4982"/>
    <w:rsid w:val="3F891A0D"/>
    <w:rsid w:val="3FE74022"/>
    <w:rsid w:val="406A1FFE"/>
    <w:rsid w:val="4081341A"/>
    <w:rsid w:val="40BD0183"/>
    <w:rsid w:val="40F77B80"/>
    <w:rsid w:val="411B22D3"/>
    <w:rsid w:val="421836FA"/>
    <w:rsid w:val="42272F93"/>
    <w:rsid w:val="42472441"/>
    <w:rsid w:val="43032287"/>
    <w:rsid w:val="439266CD"/>
    <w:rsid w:val="43E954D4"/>
    <w:rsid w:val="440A0005"/>
    <w:rsid w:val="44427364"/>
    <w:rsid w:val="44812823"/>
    <w:rsid w:val="4481793B"/>
    <w:rsid w:val="45055781"/>
    <w:rsid w:val="45677F55"/>
    <w:rsid w:val="45C94763"/>
    <w:rsid w:val="45E87A97"/>
    <w:rsid w:val="46181616"/>
    <w:rsid w:val="46252AD3"/>
    <w:rsid w:val="465D0B70"/>
    <w:rsid w:val="4667140B"/>
    <w:rsid w:val="46753001"/>
    <w:rsid w:val="467C1D76"/>
    <w:rsid w:val="46F07F12"/>
    <w:rsid w:val="46FC67E9"/>
    <w:rsid w:val="476350EE"/>
    <w:rsid w:val="47705CE5"/>
    <w:rsid w:val="478447E3"/>
    <w:rsid w:val="47A36A64"/>
    <w:rsid w:val="47AF2F63"/>
    <w:rsid w:val="48002BEA"/>
    <w:rsid w:val="482610EE"/>
    <w:rsid w:val="48D300E4"/>
    <w:rsid w:val="48DD3AFF"/>
    <w:rsid w:val="49474C41"/>
    <w:rsid w:val="49BB3501"/>
    <w:rsid w:val="49C838A0"/>
    <w:rsid w:val="49EB6E9A"/>
    <w:rsid w:val="49F64E79"/>
    <w:rsid w:val="4A1754B0"/>
    <w:rsid w:val="4AB51373"/>
    <w:rsid w:val="4ADB4956"/>
    <w:rsid w:val="4B0378FD"/>
    <w:rsid w:val="4BF6116E"/>
    <w:rsid w:val="4C5114D1"/>
    <w:rsid w:val="4C96649F"/>
    <w:rsid w:val="4CA615C2"/>
    <w:rsid w:val="4CE61EA6"/>
    <w:rsid w:val="4D5F7344"/>
    <w:rsid w:val="4EBC600C"/>
    <w:rsid w:val="4EC87325"/>
    <w:rsid w:val="4ECE5844"/>
    <w:rsid w:val="4F0E28FD"/>
    <w:rsid w:val="4FB31F60"/>
    <w:rsid w:val="4FC4043D"/>
    <w:rsid w:val="505E153F"/>
    <w:rsid w:val="508526B5"/>
    <w:rsid w:val="50F55FFE"/>
    <w:rsid w:val="52454C06"/>
    <w:rsid w:val="528D13CE"/>
    <w:rsid w:val="53135DC6"/>
    <w:rsid w:val="53235413"/>
    <w:rsid w:val="533911DE"/>
    <w:rsid w:val="537D2167"/>
    <w:rsid w:val="53F245D9"/>
    <w:rsid w:val="546F6837"/>
    <w:rsid w:val="54887FF0"/>
    <w:rsid w:val="54B42F0B"/>
    <w:rsid w:val="54DF413B"/>
    <w:rsid w:val="55321DEF"/>
    <w:rsid w:val="555A1BA0"/>
    <w:rsid w:val="559C0ECE"/>
    <w:rsid w:val="55DB478F"/>
    <w:rsid w:val="561B5CB7"/>
    <w:rsid w:val="56244B1C"/>
    <w:rsid w:val="56472525"/>
    <w:rsid w:val="56A12098"/>
    <w:rsid w:val="56BD3FCD"/>
    <w:rsid w:val="57601025"/>
    <w:rsid w:val="579F6A0D"/>
    <w:rsid w:val="57B37C72"/>
    <w:rsid w:val="581C691F"/>
    <w:rsid w:val="582E57DE"/>
    <w:rsid w:val="58441AF2"/>
    <w:rsid w:val="58706A1C"/>
    <w:rsid w:val="59094E43"/>
    <w:rsid w:val="598270A0"/>
    <w:rsid w:val="59D56FCB"/>
    <w:rsid w:val="59DF2621"/>
    <w:rsid w:val="5A1E5BC9"/>
    <w:rsid w:val="5B107B27"/>
    <w:rsid w:val="5C6E03E4"/>
    <w:rsid w:val="5D881E34"/>
    <w:rsid w:val="5DE83EF3"/>
    <w:rsid w:val="5DF3666D"/>
    <w:rsid w:val="5E0E1F3A"/>
    <w:rsid w:val="5E167440"/>
    <w:rsid w:val="5E457C97"/>
    <w:rsid w:val="5E550ABC"/>
    <w:rsid w:val="5F50072F"/>
    <w:rsid w:val="5F797C86"/>
    <w:rsid w:val="5F7F1523"/>
    <w:rsid w:val="60615A71"/>
    <w:rsid w:val="61361038"/>
    <w:rsid w:val="61A03BF7"/>
    <w:rsid w:val="61CC4611"/>
    <w:rsid w:val="6201510C"/>
    <w:rsid w:val="627A0579"/>
    <w:rsid w:val="62C4493B"/>
    <w:rsid w:val="631C2492"/>
    <w:rsid w:val="638031CA"/>
    <w:rsid w:val="64A82A4B"/>
    <w:rsid w:val="64F02C8A"/>
    <w:rsid w:val="6569254B"/>
    <w:rsid w:val="65DC2700"/>
    <w:rsid w:val="660D2ED6"/>
    <w:rsid w:val="662B7800"/>
    <w:rsid w:val="666D20C5"/>
    <w:rsid w:val="674D72CB"/>
    <w:rsid w:val="67ED5EA9"/>
    <w:rsid w:val="67FD1FC9"/>
    <w:rsid w:val="68AB1361"/>
    <w:rsid w:val="68C42C20"/>
    <w:rsid w:val="68FC7232"/>
    <w:rsid w:val="69280ABE"/>
    <w:rsid w:val="69B045E4"/>
    <w:rsid w:val="69BF2E9B"/>
    <w:rsid w:val="6A1E618D"/>
    <w:rsid w:val="6A235458"/>
    <w:rsid w:val="6A6830C7"/>
    <w:rsid w:val="6B4E4A42"/>
    <w:rsid w:val="6B4F27BB"/>
    <w:rsid w:val="6B6271EC"/>
    <w:rsid w:val="6BB169FA"/>
    <w:rsid w:val="6BC0308D"/>
    <w:rsid w:val="6BC169DB"/>
    <w:rsid w:val="6BCE15B7"/>
    <w:rsid w:val="6C507E9E"/>
    <w:rsid w:val="6CBD219B"/>
    <w:rsid w:val="6CDE6539"/>
    <w:rsid w:val="6D1250B4"/>
    <w:rsid w:val="6D4167E4"/>
    <w:rsid w:val="6D4578FD"/>
    <w:rsid w:val="6D5B5009"/>
    <w:rsid w:val="6DB82D84"/>
    <w:rsid w:val="6DC07BE1"/>
    <w:rsid w:val="6DCF4343"/>
    <w:rsid w:val="6E0B6A2D"/>
    <w:rsid w:val="6E4C770B"/>
    <w:rsid w:val="6E670330"/>
    <w:rsid w:val="6E677097"/>
    <w:rsid w:val="6E8F666C"/>
    <w:rsid w:val="6EDA324E"/>
    <w:rsid w:val="6EDC1FE0"/>
    <w:rsid w:val="6EF62573"/>
    <w:rsid w:val="6F0A3A71"/>
    <w:rsid w:val="6FAA7DC7"/>
    <w:rsid w:val="6FDB3F66"/>
    <w:rsid w:val="6FFF53CD"/>
    <w:rsid w:val="70383B5E"/>
    <w:rsid w:val="7046345D"/>
    <w:rsid w:val="70781FA7"/>
    <w:rsid w:val="70DB5C50"/>
    <w:rsid w:val="71283A40"/>
    <w:rsid w:val="71D50C08"/>
    <w:rsid w:val="728B2D64"/>
    <w:rsid w:val="72CA40A3"/>
    <w:rsid w:val="73AB01D2"/>
    <w:rsid w:val="742548C6"/>
    <w:rsid w:val="742F4960"/>
    <w:rsid w:val="74395B62"/>
    <w:rsid w:val="74B56F83"/>
    <w:rsid w:val="74B60001"/>
    <w:rsid w:val="752B04F1"/>
    <w:rsid w:val="753B1786"/>
    <w:rsid w:val="75F31DC5"/>
    <w:rsid w:val="76980946"/>
    <w:rsid w:val="76E40F21"/>
    <w:rsid w:val="77171CF2"/>
    <w:rsid w:val="774E340D"/>
    <w:rsid w:val="776808B4"/>
    <w:rsid w:val="7784595D"/>
    <w:rsid w:val="77FF49FF"/>
    <w:rsid w:val="781661DD"/>
    <w:rsid w:val="7958272C"/>
    <w:rsid w:val="799461AC"/>
    <w:rsid w:val="79AB4DB8"/>
    <w:rsid w:val="7A3D682E"/>
    <w:rsid w:val="7A6B07CE"/>
    <w:rsid w:val="7B50738B"/>
    <w:rsid w:val="7B5B37C9"/>
    <w:rsid w:val="7BC609BA"/>
    <w:rsid w:val="7C607E09"/>
    <w:rsid w:val="7D913864"/>
    <w:rsid w:val="7DC21FBB"/>
    <w:rsid w:val="7E814130"/>
    <w:rsid w:val="7EC95EF7"/>
    <w:rsid w:val="7EED5B43"/>
    <w:rsid w:val="7F784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4"/>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9"/>
    <w:qFormat/>
    <w:uiPriority w:val="0"/>
    <w:pPr>
      <w:autoSpaceDE w:val="0"/>
      <w:autoSpaceDN w:val="0"/>
      <w:jc w:val="left"/>
    </w:pPr>
    <w:rPr>
      <w:rFonts w:ascii="宋体" w:hAnsi="宋体" w:cs="宋体"/>
      <w:kern w:val="0"/>
      <w:szCs w:val="21"/>
      <w:lang w:val="zh-CN" w:bidi="zh-CN"/>
    </w:r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8"/>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6"/>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9"/>
    <w:next w:val="9"/>
    <w:link w:val="1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basedOn w:val="36"/>
    <w:qFormat/>
    <w:uiPriority w:val="0"/>
    <w:rPr>
      <w:sz w:val="21"/>
      <w:szCs w:val="21"/>
    </w:rPr>
  </w:style>
  <w:style w:type="character" w:styleId="42">
    <w:name w:val="footnote reference"/>
    <w:semiHidden/>
    <w:qFormat/>
    <w:uiPriority w:val="0"/>
    <w:rPr>
      <w:vertAlign w:val="superscript"/>
    </w:rPr>
  </w:style>
  <w:style w:type="character" w:customStyle="1" w:styleId="43">
    <w:name w:val="段 Char"/>
    <w:link w:val="24"/>
    <w:qFormat/>
    <w:uiPriority w:val="0"/>
    <w:rPr>
      <w:rFonts w:ascii="宋体"/>
      <w:sz w:val="21"/>
      <w:lang w:val="en-US" w:eastAsia="zh-CN" w:bidi="ar-SA"/>
    </w:rPr>
  </w:style>
  <w:style w:type="paragraph" w:customStyle="1" w:styleId="44">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qFormat/>
    <w:uiPriority w:val="0"/>
    <w:pPr>
      <w:numPr>
        <w:ilvl w:val="0"/>
        <w:numId w:val="0"/>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4"/>
    <w:qFormat/>
    <w:uiPriority w:val="0"/>
    <w:pPr>
      <w:numPr>
        <w:ilvl w:val="4"/>
        <w:numId w:val="2"/>
      </w:numPr>
      <w:outlineLvl w:val="5"/>
    </w:p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0" w:beforeLines="0" w:after="0" w:afterLines="0"/>
      <w:outlineLvl w:val="9"/>
    </w:pPr>
    <w:rPr>
      <w:rFonts w:ascii="宋体" w:eastAsia="宋体"/>
      <w:sz w:val="18"/>
      <w:szCs w:val="18"/>
    </w:rPr>
  </w:style>
  <w:style w:type="paragraph" w:customStyle="1" w:styleId="65">
    <w:name w:val="二级无"/>
    <w:basedOn w:val="48"/>
    <w:qFormat/>
    <w:uiPriority w:val="0"/>
    <w:pPr>
      <w:spacing w:before="0" w:beforeLines="0" w:after="0" w:afterLines="0"/>
    </w:pPr>
    <w:rPr>
      <w:rFonts w:ascii="宋体" w:eastAsia="宋体"/>
    </w:rPr>
  </w:style>
  <w:style w:type="paragraph" w:customStyle="1" w:styleId="66">
    <w:name w:val="注：（正文）"/>
    <w:basedOn w:val="59"/>
    <w:next w:val="24"/>
    <w:qFormat/>
    <w:uiPriority w:val="0"/>
    <w:pPr>
      <w:numPr>
        <w:ilvl w:val="0"/>
        <w:numId w:val="9"/>
      </w:numPr>
    </w:pPr>
  </w:style>
  <w:style w:type="paragraph" w:customStyle="1" w:styleId="67">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9">
    <w:name w:val="附录表标题"/>
    <w:basedOn w:val="1"/>
    <w:next w:val="24"/>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0">
    <w:name w:val="附录二级条标题"/>
    <w:basedOn w:val="1"/>
    <w:next w:val="24"/>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0" w:beforeLines="0" w:after="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0" w:beforeLines="0" w:after="0" w:afterLines="0"/>
    </w:pPr>
    <w:rPr>
      <w:rFonts w:ascii="宋体" w:eastAsia="宋体"/>
      <w:szCs w:val="21"/>
    </w:rPr>
  </w:style>
  <w:style w:type="paragraph" w:customStyle="1" w:styleId="97">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章标题"/>
    <w:next w:val="24"/>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50" w:beforeLines="50" w:after="50" w:afterLines="50"/>
      <w:outlineLvl w:val="2"/>
    </w:pPr>
  </w:style>
  <w:style w:type="paragraph" w:customStyle="1" w:styleId="106">
    <w:name w:val="附录一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0" w:beforeLines="0" w:after="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link w:val="118"/>
    <w:qFormat/>
    <w:uiPriority w:val="0"/>
    <w:rPr>
      <w:rFonts w:ascii="宋体" w:hAnsi="宋体"/>
      <w:kern w:val="2"/>
      <w:sz w:val="18"/>
      <w:szCs w:val="18"/>
    </w:rPr>
  </w:style>
  <w:style w:type="paragraph" w:customStyle="1" w:styleId="120">
    <w:name w:val="四级无"/>
    <w:basedOn w:val="57"/>
    <w:qFormat/>
    <w:uiPriority w:val="0"/>
    <w:pPr>
      <w:spacing w:before="0" w:beforeLines="0" w:after="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numPr>
        <w:ilvl w:val="0"/>
        <w:numId w:val="16"/>
      </w:numPr>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0" w:beforeLines="0" w:after="0" w:afterLines="0"/>
    </w:pPr>
    <w:rPr>
      <w:rFonts w:ascii="宋体" w:eastAsia="宋体"/>
    </w:rPr>
  </w:style>
  <w:style w:type="paragraph" w:customStyle="1" w:styleId="127">
    <w:name w:val="一级无"/>
    <w:basedOn w:val="44"/>
    <w:qFormat/>
    <w:uiPriority w:val="0"/>
    <w:pPr>
      <w:spacing w:before="0" w:beforeLines="0" w:after="0" w:afterLines="0"/>
    </w:pPr>
    <w:rPr>
      <w:rFonts w:ascii="宋体" w:eastAsia="宋体"/>
    </w:rPr>
  </w:style>
  <w:style w:type="paragraph" w:customStyle="1" w:styleId="128">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630"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正文文本 Char"/>
    <w:link w:val="2"/>
    <w:qFormat/>
    <w:uiPriority w:val="0"/>
    <w:rPr>
      <w:rFonts w:ascii="宋体" w:hAnsi="宋体" w:cs="宋体"/>
      <w:sz w:val="21"/>
      <w:szCs w:val="21"/>
      <w:lang w:val="zh-CN" w:bidi="zh-CN"/>
    </w:rPr>
  </w:style>
  <w:style w:type="paragraph" w:customStyle="1" w:styleId="140">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1">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2">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3">
    <w:name w:val="List Paragraph"/>
    <w:basedOn w:val="1"/>
    <w:qFormat/>
    <w:uiPriority w:val="34"/>
    <w:pPr>
      <w:ind w:firstLine="420" w:firstLineChars="200"/>
    </w:pPr>
  </w:style>
  <w:style w:type="character" w:customStyle="1" w:styleId="144">
    <w:name w:val="标题 1 Char"/>
    <w:link w:val="3"/>
    <w:qFormat/>
    <w:uiPriority w:val="0"/>
    <w:rPr>
      <w:b/>
      <w:bCs/>
      <w:kern w:val="44"/>
      <w:sz w:val="44"/>
      <w:szCs w:val="44"/>
    </w:rPr>
  </w:style>
  <w:style w:type="paragraph" w:customStyle="1" w:styleId="145">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6">
    <w:name w:val="批注框文本 Char"/>
    <w:link w:val="17"/>
    <w:qFormat/>
    <w:uiPriority w:val="0"/>
    <w:rPr>
      <w:kern w:val="2"/>
      <w:sz w:val="18"/>
      <w:szCs w:val="18"/>
    </w:rPr>
  </w:style>
  <w:style w:type="character" w:styleId="147">
    <w:name w:val="Placeholder Text"/>
    <w:semiHidden/>
    <w:qFormat/>
    <w:uiPriority w:val="99"/>
    <w:rPr>
      <w:color w:val="808080"/>
    </w:rPr>
  </w:style>
  <w:style w:type="character" w:customStyle="1" w:styleId="148">
    <w:name w:val="批注文字 Char"/>
    <w:basedOn w:val="36"/>
    <w:link w:val="9"/>
    <w:qFormat/>
    <w:uiPriority w:val="0"/>
    <w:rPr>
      <w:kern w:val="2"/>
      <w:sz w:val="21"/>
      <w:szCs w:val="24"/>
    </w:rPr>
  </w:style>
  <w:style w:type="character" w:customStyle="1" w:styleId="149">
    <w:name w:val="批注主题 Char"/>
    <w:basedOn w:val="148"/>
    <w:link w:val="33"/>
    <w:qFormat/>
    <w:uiPriority w:val="0"/>
    <w:rPr>
      <w:b/>
      <w:bCs/>
      <w:kern w:val="2"/>
      <w:sz w:val="21"/>
      <w:szCs w:val="24"/>
    </w:rPr>
  </w:style>
  <w:style w:type="paragraph" w:customStyle="1" w:styleId="150">
    <w:name w:val="列出段落2"/>
    <w:basedOn w:val="1"/>
    <w:qFormat/>
    <w:uiPriority w:val="99"/>
    <w:pPr>
      <w:ind w:firstLine="420" w:firstLineChars="200"/>
    </w:pPr>
    <w:rPr>
      <w:rFonts w:ascii="Calibri" w:hAnsi="Calibri" w:cs="黑体"/>
      <w:szCs w:val="22"/>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wm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7F48FD-C505-4CA3-A337-589651B0862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38</Pages>
  <Words>23288</Words>
  <Characters>25841</Characters>
  <Lines>115</Lines>
  <Paragraphs>32</Paragraphs>
  <TotalTime>0</TotalTime>
  <ScaleCrop>false</ScaleCrop>
  <LinksUpToDate>false</LinksUpToDate>
  <CharactersWithSpaces>26488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Dai</cp:lastModifiedBy>
  <cp:lastPrinted>2023-05-23T09:08:00Z</cp:lastPrinted>
  <dcterms:modified xsi:type="dcterms:W3CDTF">2023-06-28T14:12:13Z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C56D063D3F4A49F29EED603FA33B95E9_13</vt:lpwstr>
  </property>
</Properties>
</file>