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pPr>
      <w:r>
        <w:rPr>
          <w:rFonts w:hAnsi="黑体"/>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39.060 </w:t>
      </w:r>
      <w:r>
        <w:fldChar w:fldCharType="end"/>
      </w:r>
      <w:bookmarkEnd w:id="0"/>
    </w:p>
    <w:p>
      <w:pPr>
        <w:pStyle w:val="113"/>
      </w:pPr>
      <w:bookmarkStart w:id="1" w:name="WXFLH"/>
      <w:r>
        <w:rPr>
          <w:rFonts w:hint="eastAsia"/>
        </w:rPr>
        <w:t xml:space="preserve">CCS </w:t>
      </w: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Y 88</w:t>
      </w:r>
      <w: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noWrap w:val="0"/>
            <w:vAlign w:val="top"/>
          </w:tcPr>
          <w:p>
            <w:pPr>
              <w:pStyle w:val="113"/>
              <w:keepNext w:val="0"/>
              <w:keepLines w:val="0"/>
              <w:suppressLineNumbers w:val="0"/>
              <w:spacing w:before="0" w:beforeAutospacing="0" w:after="0" w:afterAutospacing="0"/>
              <w:ind w:left="0" w:right="0"/>
              <w:rPr>
                <w:rFonts w:hint="default" w:hAnsi="Times New Roman" w:cs="Times New Roman"/>
              </w:rPr>
            </w:pPr>
            <w:r>
              <w:rPr>
                <w:rFonts w:hint="default" w:hAnsi="Times New Roman" w:cs="Times New Roman"/>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zvt2LUBAAByAwAADgAAAGRycy9lMm9Eb2MueG1srVNNb9sw&#10;DL0P2H8QdF8cZ1i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0zvt2LUBAAByAwAADgAAAAAAAAABACAAAAAkAQAAZHJzL2Uyb0RvYy54bWxQSwUGAAAAAAYA&#10;BgBZAQAASwUAAAAA&#10;">
                      <v:fill on="t" focussize="0,0"/>
                      <v:stroke on="f"/>
                      <v:imagedata o:title=""/>
                      <o:lock v:ext="edit" aspectratio="f"/>
                      <v:textbox>
                        <w:txbxContent>
                          <w:p/>
                        </w:txbxContent>
                      </v:textbox>
                    </v:rect>
                  </w:pict>
                </mc:Fallback>
              </mc:AlternateContent>
            </w:r>
            <w:r>
              <w:rPr>
                <w:rFonts w:hint="default" w:hAnsi="Times New Roman" w:cs="Times New Roman"/>
              </w:rPr>
              <w:fldChar w:fldCharType="begin">
                <w:ffData>
                  <w:name w:val="BAH"/>
                  <w:enabled/>
                  <w:calcOnExit w:val="0"/>
                  <w:textInput/>
                </w:ffData>
              </w:fldChar>
            </w:r>
            <w:bookmarkStart w:id="2" w:name="BAH"/>
            <w:r>
              <w:rPr>
                <w:rFonts w:hint="default" w:hAnsi="Times New Roman" w:cs="Times New Roman"/>
              </w:rPr>
              <w:instrText xml:space="preserve"> FORMTEXT </w:instrText>
            </w:r>
            <w:r>
              <w:rPr>
                <w:rFonts w:hint="default" w:hAnsi="Times New Roman" w:cs="Times New Roman"/>
              </w:rPr>
              <w:fldChar w:fldCharType="separate"/>
            </w:r>
            <w:r>
              <w:rPr>
                <w:rFonts w:hint="default" w:hAnsi="Times New Roman" w:cs="Times New Roman"/>
              </w:rPr>
              <w:t>     </w:t>
            </w:r>
            <w:r>
              <w:rPr>
                <w:rFonts w:hint="default" w:hAnsi="Times New Roman" w:cs="Times New Roman"/>
              </w:rPr>
              <w:fldChar w:fldCharType="end"/>
            </w:r>
            <w:bookmarkEnd w:id="2"/>
          </w:p>
        </w:tc>
      </w:tr>
    </w:tbl>
    <w:p>
      <w:pPr>
        <w:pStyle w:val="116"/>
        <w:rPr>
          <w:rFonts w:ascii="Times New Roman" w:hAnsi="Times New Roman"/>
          <w:sz w:val="72"/>
          <w:szCs w:val="72"/>
        </w:rPr>
      </w:pPr>
      <w:r>
        <w:rPr>
          <w:rFonts w:hint="eastAsia"/>
          <w:sz w:val="72"/>
          <w:szCs w:val="72"/>
          <w:lang w:val="en-US" w:eastAsia="zh-CN"/>
        </w:rPr>
        <w:t>团体</w:t>
      </w:r>
      <w:r>
        <w:rPr>
          <w:rFonts w:hint="eastAsia"/>
          <w:sz w:val="72"/>
          <w:szCs w:val="72"/>
        </w:rPr>
        <w:t>标准</w:t>
      </w:r>
    </w:p>
    <w:p>
      <w:pPr>
        <w:pStyle w:val="89"/>
        <w:rPr>
          <w:rFonts w:hint="eastAsia" w:hAnsi="黑体" w:eastAsia="黑体"/>
          <w:lang w:eastAsia="zh-CN"/>
        </w:rPr>
      </w:pPr>
      <w:r>
        <w:rPr>
          <w:rFonts w:hint="eastAsia" w:hAnsi="黑体" w:cs="黑体"/>
          <w:b w:val="0"/>
          <w:bCs w:val="0"/>
          <w:lang w:val="en-US" w:eastAsia="zh-CN"/>
        </w:rPr>
        <w:t>T/SZS</w:t>
      </w:r>
      <w:r>
        <w:rPr>
          <w:rFonts w:hint="eastAsia" w:ascii="黑体" w:hAnsi="黑体" w:eastAsia="黑体" w:cs="黑体"/>
          <w:lang w:val="en-US" w:eastAsia="zh-CN"/>
        </w:rPr>
        <w:t xml:space="preserve"> </w:t>
      </w:r>
      <w:r>
        <w:rPr>
          <w:rFonts w:hint="eastAsia" w:hAnsi="黑体" w:cs="黑体"/>
          <w:lang w:val="en-US" w:eastAsia="zh-CN"/>
        </w:rPr>
        <w:t>XXX</w:t>
      </w:r>
      <w:r>
        <w:rPr>
          <w:rFonts w:hAnsi="黑体"/>
        </w:rPr>
        <w:t>—</w:t>
      </w:r>
      <w:r>
        <w:rPr>
          <w:rFonts w:hint="eastAsia" w:hAnsi="黑体"/>
        </w:rPr>
        <w:t>202</w:t>
      </w:r>
      <w:r>
        <w:rPr>
          <w:rFonts w:hint="eastAsia" w:hAnsi="黑体"/>
          <w:lang w:val="en-US" w:eastAsia="zh-CN"/>
        </w:rPr>
        <w:t>2</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noWrap w:val="0"/>
            <w:vAlign w:val="top"/>
          </w:tcPr>
          <w:p>
            <w:pPr>
              <w:pStyle w:val="74"/>
              <w:keepNext w:val="0"/>
              <w:keepLines w:val="0"/>
              <w:widowControl/>
              <w:suppressLineNumbers w:val="0"/>
              <w:spacing w:beforeAutospacing="0" w:after="0" w:afterAutospacing="0"/>
              <w:ind w:left="0" w:right="0"/>
              <w:rPr>
                <w:rFonts w:hint="default" w:hAnsi="Times New Roman" w:cs="Times New Roman"/>
              </w:rPr>
            </w:pPr>
            <w:bookmarkStart w:id="3" w:name="DT"/>
            <w:r>
              <w:rPr>
                <w:rFonts w:hint="default" w:hAnsi="Times New Roman" w:cs="Times New Roman"/>
              </w:rPr>
              <w:fldChar w:fldCharType="begin">
                <w:ffData>
                  <w:name w:val="DT"/>
                  <w:enabled/>
                  <w:calcOnExit w:val="0"/>
                  <w:entryMacro w:val="ShowHelp4"/>
                  <w:textInput/>
                </w:ffData>
              </w:fldChar>
            </w:r>
            <w:r>
              <w:rPr>
                <w:rFonts w:hint="default" w:hAnsi="Times New Roman" w:cs="Times New Roman"/>
              </w:rPr>
              <w:instrText xml:space="preserve"> FORMTEXT </w:instrText>
            </w:r>
            <w:r>
              <w:rPr>
                <w:rFonts w:hint="default" w:hAnsi="Times New Roman" w:cs="Times New Roman"/>
              </w:rPr>
              <w:fldChar w:fldCharType="separate"/>
            </w:r>
            <w:r>
              <w:rPr>
                <w:rFonts w:hint="default" w:hAnsi="Times New Roman" w:cs="Times New Roman"/>
              </w:rPr>
              <w:t>     </w:t>
            </w:r>
            <w:r>
              <w:rPr>
                <w:rFonts w:hint="default" w:hAnsi="Times New Roman" w:cs="Times New Roman"/>
              </w:rPr>
              <w:fldChar w:fldCharType="end"/>
            </w:r>
            <w:bookmarkEnd w:id="3"/>
          </w:p>
        </w:tc>
      </w:tr>
    </w:tbl>
    <w:p>
      <w:pPr>
        <w:pStyle w:val="89"/>
        <w:rPr>
          <w:rFonts w:hAnsi="黑体"/>
        </w:rPr>
      </w:pPr>
    </w:p>
    <w:p>
      <w:pPr>
        <w:pStyle w:val="89"/>
        <w:rPr>
          <w:rFonts w:hAnsi="黑体"/>
        </w:rPr>
      </w:pPr>
    </w:p>
    <w:p>
      <w:pPr>
        <w:pStyle w:val="57"/>
        <w:spacing w:line="800" w:lineRule="atLeast"/>
      </w:pPr>
      <w:bookmarkStart w:id="4" w:name="StdName"/>
      <w:r>
        <w:rPr>
          <w:rFonts w:hint="eastAsia"/>
        </w:rPr>
        <w:t xml:space="preserve">贵金属饰品行业清洁生产评价指标体系                  </w:t>
      </w:r>
      <w:bookmarkEnd w:id="4"/>
    </w:p>
    <w:p>
      <w:pPr>
        <w:pStyle w:val="56"/>
        <w:spacing w:before="0" w:line="200" w:lineRule="atLeast"/>
        <w:rPr>
          <w:rFonts w:ascii="黑体" w:hAnsi="黑体"/>
          <w:color w:val="FF0000"/>
        </w:rPr>
      </w:pPr>
      <w:r>
        <w:rPr>
          <w:rFonts w:hint="eastAsia" w:ascii="黑体" w:hAnsi="黑体" w:eastAsia="黑体" w:cs="黑体"/>
        </w:rPr>
        <w:t>Assessment indicator frame of cleaner production for precious metal adornment industry</w:t>
      </w:r>
      <w:r>
        <w:rPr>
          <w:rFonts w:hint="eastAsia" w:ascii="黑体" w:hAnsi="黑体"/>
          <w:lang w:val="en-US" w:eastAsia="zh-CN"/>
        </w:rPr>
        <w:t xml:space="preserve"> </w:t>
      </w:r>
      <w:r>
        <w:rPr>
          <w:rFonts w:ascii="黑体" w:hAnsi="黑体"/>
        </w:rPr>
        <w:t xml:space="preserve">         </w:t>
      </w:r>
    </w:p>
    <w:p>
      <w:pPr>
        <w:pStyle w:val="55"/>
        <w:spacing w:before="0" w:line="300" w:lineRule="atLeast"/>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75"/>
              <w:keepNext w:val="0"/>
              <w:keepLines w:val="0"/>
              <w:suppressLineNumbers w:val="0"/>
              <w:spacing w:beforeAutospacing="0" w:afterAutospacing="0"/>
              <w:ind w:left="0" w:right="0"/>
              <w:rPr>
                <w:rFonts w:hint="eastAsia" w:hAnsi="Times New Roman" w:cs="Times New Roman"/>
              </w:rPr>
            </w:pPr>
            <w:r>
              <w:rPr>
                <w:rFonts w:hint="default" w:hAnsi="Times New Roman" w:cs="Times New Roman"/>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2"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wrap="square" upright="1"/>
                          </wps:wsp>
                        </a:graphicData>
                      </a:graphic>
                    </wp:anchor>
                  </w:drawing>
                </mc:Choice>
                <mc:Fallback>
                  <w:pict>
                    <v:rect id="RQ"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WAVeyrwEAAHIDAAAOAAAAZHJzL2Uyb0RvYy54bWytU01v&#10;2zAMvQ/YfxB0X+QE7bAZcXpokF2GrVu7H6DIsi1AXyOV2Pn3o2Qv3bpLD/NBJkXqke9R2t5NzrKz&#10;BjTBN3y9qjjTXoXW+L7hP54O7z5whkn6VtrgdcMvGvnd7u2b7RhrvQlDsK0GRiAe6zE2fEgp1kKg&#10;GrSTuApRewp2AZxM5EIvWpAjoTsrNlX1XowB2ghBaUTa3c9BviDCawBD1xml90GdnPZpRgVtZSJK&#10;OJiIfFe67Tqt0teuQ52YbTgxTWWlImQf8yp2W1n3IONg1NKCfE0LLzg5aTwVvULtZZLsBOYfKGcU&#10;BAxdWqngxEykKEIs1tULbR4HGXXhQlJjvIqO/w9WfTk/ADNtwzeceelo4N+/ZVXGiDUFH+MDLB6S&#10;mSlOHbj8p+bZVJS8XJXUU2KKNtcfq9uqIpEVxTa3N9kmGPF8OgKmTzo4lo2GA02qCCjPnzHNqb9T&#10;cjEM1rQHY21xoD/eW2BnSVM9lG9B/yvN+pzsQz42I+YdkZnNXLKVpuO0EDyG9kJijHQbGo4/TxI0&#10;Z6cIph+ow3UpkY/QKAqV5drkWf/plxLPT2X3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X9+DX&#10;AAAACwEAAA8AAAAAAAAAAQAgAAAAIgAAAGRycy9kb3ducmV2LnhtbFBLAQIUABQAAAAIAIdO4kCW&#10;AVeyrwEAAHIDAAAOAAAAAAAAAAEAIAAAACYBAABkcnMvZTJvRG9jLnhtbFBLBQYAAAAABgAGAFkB&#10;AABHBQ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125"/>
              <w:keepNext w:val="0"/>
              <w:keepLines w:val="0"/>
              <w:suppressLineNumbers w:val="0"/>
              <w:spacing w:beforeAutospacing="0" w:afterAutospacing="0"/>
              <w:ind w:left="0" w:right="0"/>
              <w:rPr>
                <w:rFonts w:hint="default"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25"/>
              <w:keepNext w:val="0"/>
              <w:keepLines w:val="0"/>
              <w:suppressLineNumbers w:val="0"/>
              <w:spacing w:beforeAutospacing="0" w:afterAutospacing="0"/>
              <w:ind w:left="0" w:right="0"/>
              <w:rPr>
                <w:rFonts w:hint="default" w:hAnsi="Times New Roman" w:cs="Times New Roman"/>
              </w:rPr>
            </w:pPr>
          </w:p>
        </w:tc>
      </w:tr>
    </w:tbl>
    <w:p>
      <w:pPr>
        <w:pStyle w:val="90"/>
        <w:rPr>
          <w:rFonts w:ascii="黑体" w:hAnsi="黑体"/>
        </w:rPr>
      </w:pPr>
      <w:r>
        <w:rPr>
          <w:rFonts w:hint="eastAsia" w:ascii="黑体" w:hAnsi="黑体"/>
        </w:rPr>
        <w:t>202</w:t>
      </w:r>
      <w:r>
        <w:rPr>
          <w:rFonts w:hint="eastAsia" w:ascii="黑体" w:hAnsi="黑体"/>
          <w:lang w:val="en-US" w:eastAsia="zh-CN"/>
        </w:rPr>
        <w:t>2</w:t>
      </w:r>
      <w:r>
        <w:rPr>
          <w:rFonts w:hint="eastAsia" w:ascii="黑体" w:hAnsi="黑体"/>
        </w:rPr>
        <w:t>-</w:t>
      </w:r>
      <w:r>
        <w:rPr>
          <w:rFonts w:hint="eastAsia" w:ascii="黑体" w:hAnsi="黑体"/>
          <w:lang w:val="en-US" w:eastAsia="zh-CN"/>
        </w:rPr>
        <w:t>XX</w:t>
      </w:r>
      <w:r>
        <w:rPr>
          <w:rFonts w:hint="eastAsia" w:ascii="黑体" w:hAnsi="黑体"/>
        </w:rPr>
        <w:t>-</w:t>
      </w:r>
      <w:r>
        <w:rPr>
          <w:rFonts w:hint="eastAsia" w:ascii="黑体" w:hAnsi="黑体"/>
          <w:lang w:val="en-US" w:eastAsia="zh-CN"/>
        </w:rPr>
        <w:t>XX</w:t>
      </w:r>
      <w:r>
        <w:rPr>
          <w:rFonts w:hint="eastAsia" w:ascii="黑体" w:hAnsi="黑体"/>
        </w:rPr>
        <w:t>发布</w:t>
      </w:r>
      <w:r>
        <w:rPr>
          <w:rFonts w:ascii="黑体" w:hAnsi="黑体"/>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Af2MjmAQAA3AMAAA4AAABkcnMvZTJvRG9jLnhtbK1TzY7T&#10;MBC+I/EOlu80TWFXEDXdw5blgqAS8ABT20ks+U8et2mfhdfgxIXH2ddg7HRbWC49kIMz9oy/me+b&#10;8fLuYA3bq4jau5bXszlnygkvtetb/u3rw6u3nGECJ8F4p1p+VMjvVi9fLMfQqIUfvJEqMgJx2Iyh&#10;5UNKoakqFIOygDMflCNn56OFRNvYVzLCSOjWVIv5/LYafZQheqEQ6XQ9OfkJMV4D6LtOC7X2YmeV&#10;SxNqVAYSUcJBB+SrUm3XKZE+dx2qxEzLiWkqKyUhe5vXarWEpo8QBi1OJcA1JTzjZEE7SnqGWkMC&#10;tov6HyirRfTouzQT3lYTkaIIsajnz7T5MkBQhQtJjeEsOv4/WPFpv4lMy5a/4cyBpYY/fv/x+PMX&#10;q4s4Y8CGYu7dJpJUeYdhEzPTQxdt/hMHdiiCHs+CqkNigg5va2L1mrQWT77qcjFETB+UtywbLTfa&#10;Za7QwP4jJkpGoU8h+dg4Nrb83c3ihuCABq+jhpNpAxWPri930RstH7Qx+QbGfntvIttDbn75cr8J&#10;96+wnGQNOExxxTWNxaBAvne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wH9jI&#10;5gEAANwDAAAOAAAAAAAAAAEAIAAAACUBAABkcnMvZTJvRG9jLnhtbFBLBQYAAAAABgAGAFkBAAB9&#10;BQAAAAA=&#10;">
                <v:fill on="f" focussize="0,0"/>
                <v:stroke color="#000000" joinstyle="round"/>
                <v:imagedata o:title=""/>
                <o:lock v:ext="edit" aspectratio="f"/>
                <w10:anchorlock/>
              </v:line>
            </w:pict>
          </mc:Fallback>
        </mc:AlternateContent>
      </w:r>
    </w:p>
    <w:p>
      <w:pPr>
        <w:pStyle w:val="122"/>
        <w:rPr>
          <w:rFonts w:ascii="黑体" w:hAnsi="黑体"/>
        </w:rPr>
      </w:pPr>
      <w:r>
        <w:rPr>
          <w:rFonts w:hint="eastAsia" w:ascii="黑体" w:hAnsi="黑体"/>
        </w:rPr>
        <w:t>20</w:t>
      </w:r>
      <w:r>
        <w:rPr>
          <w:rFonts w:hint="eastAsia" w:ascii="黑体" w:hAnsi="黑体"/>
          <w:lang w:val="en-US" w:eastAsia="zh-CN"/>
        </w:rPr>
        <w:t>22</w:t>
      </w:r>
      <w:r>
        <w:rPr>
          <w:rFonts w:hint="eastAsia" w:ascii="黑体" w:hAnsi="黑体"/>
        </w:rPr>
        <w:t>-</w:t>
      </w:r>
      <w:r>
        <w:rPr>
          <w:rFonts w:hint="eastAsia" w:ascii="黑体" w:hAnsi="黑体"/>
          <w:lang w:val="en-US" w:eastAsia="zh-CN"/>
        </w:rPr>
        <w:t>XX</w:t>
      </w:r>
      <w:r>
        <w:rPr>
          <w:rFonts w:hint="eastAsia" w:ascii="黑体" w:hAnsi="黑体"/>
        </w:rPr>
        <w:t>-</w:t>
      </w:r>
      <w:r>
        <w:rPr>
          <w:rFonts w:hint="eastAsia" w:ascii="黑体" w:hAnsi="黑体"/>
          <w:lang w:val="en-US" w:eastAsia="zh-CN"/>
        </w:rPr>
        <w:t>XX</w:t>
      </w:r>
      <w:r>
        <w:rPr>
          <w:rFonts w:hint="eastAsia" w:ascii="黑体" w:hAnsi="黑体"/>
        </w:rPr>
        <w:t>实施</w:t>
      </w:r>
    </w:p>
    <w:p>
      <w:pPr>
        <w:pStyle w:val="80"/>
        <w:framePr w:h="490" w:hRule="exact" w:x="2204" w:y="15043"/>
        <w:sectPr>
          <w:headerReference r:id="rId3" w:type="even"/>
          <w:footerReference r:id="rId4" w:type="even"/>
          <w:pgSz w:w="11906" w:h="16838"/>
          <w:pgMar w:top="567" w:right="850" w:bottom="1134" w:left="1418" w:header="0" w:footer="0" w:gutter="0"/>
          <w:pgBorders>
            <w:top w:val="none" w:sz="0" w:space="0"/>
            <w:left w:val="none" w:sz="0" w:space="0"/>
            <w:bottom w:val="none" w:sz="0" w:space="0"/>
            <w:right w:val="none" w:sz="0" w:space="0"/>
          </w:pgBorders>
          <w:pgNumType w:start="1"/>
          <w:cols w:space="720" w:num="1"/>
          <w:docGrid w:type="lines" w:linePitch="312" w:charSpace="0"/>
        </w:sectPr>
      </w:pPr>
      <w:bookmarkStart w:id="5" w:name="fm"/>
      <w:r>
        <w:rPr>
          <w:rFonts w:hint="eastAsia"/>
          <w:szCs w:val="28"/>
        </w:rPr>
        <w:t>深圳市</w: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txbxContent>
                </v:textbox>
              </v:rect>
            </w:pict>
          </mc:Fallback>
        </mc:AlternateContent>
      </w:r>
      <w:r>
        <w:rPr>
          <w:w w:val="100"/>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SfX6G+cBAADcAwAADgAAAGRycy9lMm9Eb2MueG1srVNL&#10;btswEN0X6B0I7mtZLhK0guUs4qabojXQ5gBjkpII8AcObdln6TW66qbHyTU6pBynTTZeRAtqyBm+&#10;mfdmuLw5WMP2KqL2ruX1bM6ZcsJL7fqW3/+4e/eBM0zgJBjvVMuPCvnN6u2b5RgatfCDN1JFRiAO&#10;mzG0fEgpNFWFYlAWcOaDcuTsfLSQaBv7SkYYCd2aajGfX1ejjzJELxQina4nJz8hxksAfddpodZe&#10;7KxyaUKNykAiSjjogHxVqu06JdK3rkOVmGk5MU1lpSRkb/NarZbQ9BHCoMWpBLikhGecLGhHSc9Q&#10;a0jAdlG/gLJaRI++SzPhbTURKYoQi3r+TJvvAwRVuJDUGM6i4+vBiq/7TWRatvyKMweWGv7w89fD&#10;7z+srrM4Y8CGYm7dJp52GDYxMz100eY/cWCHIujxLKg6JCbo8LomVu9Ja/Hoq54uhojps/KWZaPl&#10;RrvMFRrYf8FEySj0MSQfG8fGln+8WlChAmjwOmo4mTZQ8ej6che90fJOG5NvYOy3tyayPeTmly9T&#10;Itz/wnKSNeAwxRXXNBaDAvnJSZaOgWRx9Bp4LsEqyZlR9HiyRYDQJNDmkkhKbRxVkFWddMzW1ssj&#10;NWEXou4HUqIIX2Ko6aXe04Dmqfp3X5CeHuXq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BJ&#10;9fob5wEAANwDAAAOAAAAAAAAAAEAIAAAACcBAABkcnMvZTJvRG9jLnhtbFBLBQYAAAAABgAGAFkB&#10;AACABQAAAAA=&#10;">
                <v:fill on="f" focussize="0,0"/>
                <v:stroke color="#000000" joinstyle="round"/>
                <v:imagedata o:title=""/>
                <o:lock v:ext="edit" aspectratio="f"/>
              </v:line>
            </w:pict>
          </mc:Fallback>
        </mc:AlternateContent>
      </w:r>
      <w:bookmarkEnd w:id="5"/>
      <w:r>
        <w:rPr>
          <w:rFonts w:hint="eastAsia"/>
          <w:szCs w:val="28"/>
          <w:lang w:val="en-US" w:eastAsia="zh-CN"/>
        </w:rPr>
        <w:t>XXXX</w:t>
      </w:r>
      <w:r>
        <w:rPr>
          <w:rFonts w:hAnsi="黑体"/>
        </w:rPr>
        <w:t> </w:t>
      </w:r>
      <w:r>
        <w:rPr>
          <w:rStyle w:val="45"/>
          <w:rFonts w:hint="eastAsia"/>
        </w:rPr>
        <w:t>发布</w:t>
      </w:r>
    </w:p>
    <w:p>
      <w:pPr>
        <w:pStyle w:val="31"/>
        <w:keepNext/>
        <w:pageBreakBefore/>
        <w:shd w:val="clear" w:color="auto" w:fill="FFFFFF"/>
        <w:spacing w:before="640" w:beforeAutospacing="0" w:after="560" w:afterAutospacing="0" w:line="460" w:lineRule="exact"/>
        <w:jc w:val="center"/>
        <w:outlineLvl w:val="0"/>
      </w:pPr>
      <w:r>
        <w:rPr>
          <w:rFonts w:hint="eastAsia" w:ascii="黑体" w:hAnsi="Times New Roman" w:eastAsia="黑体" w:cs="Times New Roman"/>
          <w:sz w:val="32"/>
          <w:szCs w:val="20"/>
          <w:lang w:bidi="ar"/>
        </w:rPr>
        <w:t>目</w:t>
      </w:r>
      <w:bookmarkStart w:id="6" w:name="BKML"/>
      <w:r>
        <w:rPr>
          <w:rFonts w:ascii="黑体" w:hAnsi="Times New Roman" w:eastAsia="黑体" w:cs="Times New Roman"/>
          <w:sz w:val="32"/>
          <w:szCs w:val="20"/>
          <w:lang w:bidi="ar"/>
        </w:rPr>
        <w:t>  </w:t>
      </w:r>
      <w:r>
        <w:rPr>
          <w:rFonts w:hint="eastAsia" w:ascii="黑体" w:hAnsi="Times New Roman" w:eastAsia="黑体" w:cs="Times New Roman"/>
          <w:sz w:val="32"/>
          <w:szCs w:val="20"/>
          <w:lang w:bidi="ar"/>
        </w:rPr>
        <w:t>次</w:t>
      </w:r>
      <w:bookmarkEnd w:id="6"/>
    </w:p>
    <w:p>
      <w:pPr>
        <w:pStyle w:val="31"/>
        <w:widowControl w:val="0"/>
        <w:tabs>
          <w:tab w:val="right" w:leader="dot" w:pos="9242"/>
        </w:tabs>
        <w:spacing w:beforeLines="25" w:beforeAutospacing="0" w:afterLines="25" w:afterAutospacing="0"/>
        <w:rPr>
          <w:sz w:val="21"/>
          <w:szCs w:val="21"/>
        </w:rPr>
      </w:pPr>
      <w:r>
        <w:rPr>
          <w:rFonts w:hint="eastAsia" w:cs="Times New Roman"/>
          <w:kern w:val="2"/>
          <w:sz w:val="21"/>
          <w:szCs w:val="21"/>
          <w:lang w:bidi="ar"/>
        </w:rPr>
        <w:fldChar w:fldCharType="begin" w:fldLock="1"/>
      </w:r>
      <w:r>
        <w:rPr>
          <w:rFonts w:hint="eastAsia" w:cs="Times New Roman"/>
          <w:kern w:val="2"/>
          <w:sz w:val="21"/>
          <w:szCs w:val="21"/>
          <w:lang w:bidi="ar"/>
        </w:rPr>
        <w:instrText xml:space="preserve"> TOC \h \z \t"前言、引言标题,1,参考文献、索引标题,1,章标题,1,参考文献,1,附录标识,1,一级条标题, 3" \* MERGEFORMAT </w:instrText>
      </w:r>
      <w:r>
        <w:rPr>
          <w:rFonts w:hint="eastAsia" w:cs="Times New Roman"/>
          <w:kern w:val="2"/>
          <w:sz w:val="21"/>
          <w:szCs w:val="21"/>
          <w:lang w:bidi="ar"/>
        </w:rPr>
        <w:fldChar w:fldCharType="separate"/>
      </w:r>
      <w:r>
        <w:fldChar w:fldCharType="begin"/>
      </w:r>
      <w:r>
        <w:instrText xml:space="preserve"> HYPERLINK "file:///C:/Users/gaoting/Desktop/近日工作/无氰电铸硬足金饰品工艺参数规范（讨论后）修改第一稿3.4.docx" \l "_Toc261613803" </w:instrText>
      </w:r>
      <w:r>
        <w:fldChar w:fldCharType="separate"/>
      </w:r>
      <w:r>
        <w:rPr>
          <w:rStyle w:val="40"/>
          <w:sz w:val="21"/>
        </w:rPr>
        <w:t>前言</w:t>
      </w:r>
      <w:r>
        <w:rPr>
          <w:rStyle w:val="40"/>
          <w:color w:val="auto"/>
          <w:sz w:val="21"/>
          <w:u w:val="none"/>
        </w:rPr>
        <w:tab/>
      </w:r>
      <w:r>
        <w:rPr>
          <w:sz w:val="21"/>
          <w:szCs w:val="21"/>
        </w:rPr>
        <w:fldChar w:fldCharType="begin" w:fldLock="1"/>
      </w:r>
      <w:r>
        <w:rPr>
          <w:rStyle w:val="40"/>
          <w:color w:val="auto"/>
          <w:sz w:val="21"/>
          <w:u w:val="none"/>
        </w:rPr>
        <w:instrText xml:space="preserve"> PAGEREF _Toc261613803 \h </w:instrText>
      </w:r>
      <w:r>
        <w:rPr>
          <w:sz w:val="21"/>
          <w:szCs w:val="21"/>
        </w:rPr>
        <w:fldChar w:fldCharType="separate"/>
      </w:r>
      <w:r>
        <w:rPr>
          <w:rStyle w:val="40"/>
          <w:color w:val="auto"/>
          <w:sz w:val="21"/>
          <w:u w:val="none"/>
        </w:rPr>
        <w:t>I</w:t>
      </w:r>
      <w:r>
        <w:rPr>
          <w:sz w:val="21"/>
          <w:szCs w:val="21"/>
        </w:rPr>
        <w:fldChar w:fldCharType="end"/>
      </w:r>
      <w:r>
        <w:rPr>
          <w:sz w:val="21"/>
          <w:szCs w:val="21"/>
        </w:rPr>
        <w:fldChar w:fldCharType="begin" w:fldLock="1"/>
      </w:r>
      <w:r>
        <w:rPr>
          <w:rStyle w:val="40"/>
          <w:color w:val="auto"/>
          <w:sz w:val="21"/>
          <w:u w:val="none"/>
        </w:rPr>
        <w:instrText xml:space="preserve"> PAGEREF _Toc261613803 \h </w:instrText>
      </w:r>
      <w:r>
        <w:rPr>
          <w:sz w:val="21"/>
          <w:szCs w:val="21"/>
        </w:rPr>
        <w:fldChar w:fldCharType="separate"/>
      </w:r>
      <w:r>
        <w:rPr>
          <w:rStyle w:val="40"/>
          <w:color w:val="auto"/>
          <w:sz w:val="21"/>
          <w:u w:val="none"/>
        </w:rPr>
        <w:t>I</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"_Toc261613804" </w:instrText>
      </w:r>
      <w:r>
        <w:fldChar w:fldCharType="separate"/>
      </w:r>
      <w:r>
        <w:rPr>
          <w:rStyle w:val="40"/>
          <w:sz w:val="21"/>
        </w:rPr>
        <w:t>1　范围</w:t>
      </w:r>
      <w:r>
        <w:rPr>
          <w:rStyle w:val="40"/>
          <w:color w:val="auto"/>
          <w:sz w:val="21"/>
          <w:u w:val="none"/>
        </w:rPr>
        <w:tab/>
      </w:r>
      <w:r>
        <w:rPr>
          <w:sz w:val="21"/>
          <w:szCs w:val="21"/>
        </w:rPr>
        <w:fldChar w:fldCharType="begin" w:fldLock="1"/>
      </w:r>
      <w:r>
        <w:rPr>
          <w:rStyle w:val="40"/>
          <w:color w:val="auto"/>
          <w:sz w:val="21"/>
          <w:u w:val="none"/>
        </w:rPr>
        <w:instrText xml:space="preserve"> PAGEREF _Toc261613804 \h </w:instrText>
      </w:r>
      <w:r>
        <w:rPr>
          <w:sz w:val="21"/>
          <w:szCs w:val="21"/>
        </w:rPr>
        <w:fldChar w:fldCharType="separate"/>
      </w:r>
      <w:r>
        <w:rPr>
          <w:rStyle w:val="40"/>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"_Toc261613805" </w:instrText>
      </w:r>
      <w:r>
        <w:fldChar w:fldCharType="separate"/>
      </w:r>
      <w:r>
        <w:rPr>
          <w:rStyle w:val="40"/>
          <w:sz w:val="21"/>
        </w:rPr>
        <w:t>2　规范性引用文件</w:t>
      </w:r>
      <w:r>
        <w:rPr>
          <w:rStyle w:val="40"/>
          <w:color w:val="auto"/>
          <w:sz w:val="21"/>
          <w:u w:val="none"/>
        </w:rPr>
        <w:tab/>
      </w:r>
      <w:r>
        <w:rPr>
          <w:sz w:val="21"/>
          <w:szCs w:val="21"/>
        </w:rPr>
        <w:fldChar w:fldCharType="begin" w:fldLock="1"/>
      </w:r>
      <w:r>
        <w:rPr>
          <w:rStyle w:val="40"/>
          <w:color w:val="auto"/>
          <w:sz w:val="21"/>
          <w:u w:val="none"/>
        </w:rPr>
        <w:instrText xml:space="preserve"> PAGEREF _Toc261613805 \h </w:instrText>
      </w:r>
      <w:r>
        <w:rPr>
          <w:sz w:val="21"/>
          <w:szCs w:val="21"/>
        </w:rPr>
        <w:fldChar w:fldCharType="separate"/>
      </w:r>
      <w:r>
        <w:rPr>
          <w:rStyle w:val="40"/>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"_Toc261613806" </w:instrText>
      </w:r>
      <w:r>
        <w:fldChar w:fldCharType="separate"/>
      </w:r>
      <w:r>
        <w:rPr>
          <w:rStyle w:val="40"/>
          <w:bCs/>
          <w:sz w:val="21"/>
        </w:rPr>
        <w:t>3　术语和定义</w:t>
      </w:r>
      <w:r>
        <w:rPr>
          <w:rStyle w:val="40"/>
          <w:color w:val="auto"/>
          <w:sz w:val="21"/>
          <w:u w:val="none"/>
        </w:rPr>
        <w:tab/>
      </w:r>
      <w:r>
        <w:rPr>
          <w:sz w:val="21"/>
          <w:szCs w:val="21"/>
        </w:rPr>
        <w:fldChar w:fldCharType="begin" w:fldLock="1"/>
      </w:r>
      <w:r>
        <w:rPr>
          <w:rStyle w:val="40"/>
          <w:color w:val="auto"/>
          <w:sz w:val="21"/>
          <w:u w:val="none"/>
        </w:rPr>
        <w:instrText xml:space="preserve"> PAGEREF _Toc261613806 \h </w:instrText>
      </w:r>
      <w:r>
        <w:rPr>
          <w:sz w:val="21"/>
          <w:szCs w:val="21"/>
        </w:rPr>
        <w:fldChar w:fldCharType="separate"/>
      </w:r>
      <w:r>
        <w:rPr>
          <w:rStyle w:val="40"/>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0"/>
          <w:rFonts w:hint="eastAsia"/>
          <w:sz w:val="21"/>
        </w:rPr>
        <w:t>4</w:t>
      </w:r>
      <w:r>
        <w:rPr>
          <w:rStyle w:val="40"/>
          <w:sz w:val="21"/>
        </w:rPr>
        <w:t>　</w:t>
      </w:r>
      <w:r>
        <w:rPr>
          <w:rStyle w:val="40"/>
          <w:rFonts w:hint="eastAsia"/>
          <w:sz w:val="21"/>
          <w:lang w:val="en-US" w:eastAsia="zh-CN"/>
        </w:rPr>
        <w:t>评价指标体系</w:t>
      </w:r>
      <w:r>
        <w:rPr>
          <w:rStyle w:val="40"/>
          <w:color w:val="auto"/>
          <w:sz w:val="21"/>
          <w:u w:val="none"/>
        </w:rPr>
        <w:tab/>
      </w:r>
      <w:r>
        <w:rPr>
          <w:rStyle w:val="40"/>
          <w:rFonts w:hint="eastAsia"/>
          <w:color w:val="auto"/>
          <w:sz w:val="21"/>
          <w:u w:val="none"/>
          <w:lang w:val="en-US" w:eastAsia="zh-CN"/>
        </w:rPr>
        <w:t>3</w:t>
      </w:r>
      <w:r>
        <w:rPr>
          <w:rStyle w:val="40"/>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0"/>
          <w:rFonts w:hint="eastAsia"/>
          <w:sz w:val="21"/>
        </w:rPr>
        <w:t>5</w:t>
      </w:r>
      <w:r>
        <w:rPr>
          <w:rStyle w:val="40"/>
          <w:sz w:val="21"/>
        </w:rPr>
        <w:t>　</w:t>
      </w:r>
      <w:r>
        <w:rPr>
          <w:rStyle w:val="40"/>
          <w:rFonts w:hint="eastAsia"/>
          <w:sz w:val="21"/>
        </w:rPr>
        <w:t>评价方法</w:t>
      </w:r>
      <w:r>
        <w:rPr>
          <w:rStyle w:val="40"/>
          <w:color w:val="auto"/>
          <w:sz w:val="21"/>
          <w:u w:val="none"/>
        </w:rPr>
        <w:tab/>
      </w:r>
      <w:r>
        <w:rPr>
          <w:rStyle w:val="40"/>
          <w:rFonts w:hint="eastAsia"/>
          <w:color w:val="auto"/>
          <w:sz w:val="21"/>
          <w:u w:val="none"/>
          <w:lang w:val="en-US" w:eastAsia="zh-CN"/>
        </w:rPr>
        <w:t>9</w:t>
      </w:r>
      <w:r>
        <w:rPr>
          <w:rStyle w:val="40"/>
          <w:rFonts w:hint="eastAsia"/>
          <w:color w:val="auto"/>
          <w:sz w:val="21"/>
          <w:u w:val="none"/>
        </w:rPr>
        <w:fldChar w:fldCharType="end"/>
      </w:r>
    </w:p>
    <w:p>
      <w:pPr>
        <w:pStyle w:val="31"/>
        <w:widowControl w:val="0"/>
        <w:tabs>
          <w:tab w:val="right" w:leader="dot" w:pos="9242"/>
        </w:tabs>
        <w:spacing w:beforeLines="25" w:beforeAutospacing="0" w:afterLines="25" w:afterAutospacing="0"/>
        <w:rPr>
          <w:rFonts w:hint="eastAsia" w:eastAsia="宋体"/>
          <w:sz w:val="21"/>
          <w:szCs w:val="21"/>
          <w:lang w:val="en-US" w:eastAsia="zh-CN"/>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0"/>
          <w:rFonts w:hint="eastAsia"/>
          <w:sz w:val="21"/>
        </w:rPr>
        <w:t>6</w:t>
      </w:r>
      <w:r>
        <w:rPr>
          <w:rStyle w:val="40"/>
          <w:sz w:val="21"/>
        </w:rPr>
        <w:t>　</w:t>
      </w:r>
      <w:r>
        <w:rPr>
          <w:rStyle w:val="40"/>
          <w:rFonts w:hint="eastAsia"/>
          <w:sz w:val="21"/>
          <w:lang w:val="en-US" w:eastAsia="zh-CN"/>
        </w:rPr>
        <w:t>指标核算与数据来源</w:t>
      </w:r>
      <w:r>
        <w:rPr>
          <w:rStyle w:val="40"/>
          <w:color w:val="auto"/>
          <w:sz w:val="21"/>
          <w:u w:val="none"/>
        </w:rPr>
        <w:tab/>
      </w:r>
      <w:r>
        <w:rPr>
          <w:rStyle w:val="40"/>
          <w:rFonts w:hint="eastAsia"/>
          <w:color w:val="auto"/>
          <w:sz w:val="21"/>
          <w:u w:val="none"/>
          <w:lang w:val="en-US" w:eastAsia="zh-CN"/>
        </w:rPr>
        <w:t>1</w:t>
      </w:r>
      <w:r>
        <w:rPr>
          <w:rStyle w:val="40"/>
          <w:rFonts w:hint="eastAsia"/>
          <w:color w:val="auto"/>
          <w:sz w:val="21"/>
          <w:u w:val="none"/>
        </w:rPr>
        <w:fldChar w:fldCharType="end"/>
      </w:r>
      <w:r>
        <w:rPr>
          <w:rStyle w:val="40"/>
          <w:rFonts w:hint="eastAsia"/>
          <w:color w:val="auto"/>
          <w:sz w:val="21"/>
          <w:u w:val="none"/>
          <w:lang w:val="en-US" w:eastAsia="zh-CN"/>
        </w:rPr>
        <w:t>0</w:t>
      </w:r>
    </w:p>
    <w:p>
      <w:pPr>
        <w:pStyle w:val="31"/>
        <w:widowControl w:val="0"/>
        <w:tabs>
          <w:tab w:val="right" w:leader="dot" w:pos="9242"/>
        </w:tabs>
        <w:spacing w:beforeLines="25" w:beforeAutospacing="0" w:afterLines="25" w:afterAutospacing="0"/>
        <w:rPr>
          <w:rFonts w:hint="eastAsia" w:eastAsia="宋体"/>
          <w:sz w:val="21"/>
          <w:szCs w:val="21"/>
          <w:lang w:val="en-US" w:eastAsia="zh-CN"/>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0"/>
          <w:rFonts w:hint="eastAsia"/>
          <w:sz w:val="21"/>
        </w:rPr>
        <w:t>7</w:t>
      </w:r>
      <w:r>
        <w:rPr>
          <w:rStyle w:val="40"/>
          <w:sz w:val="21"/>
        </w:rPr>
        <w:t>　</w:t>
      </w:r>
      <w:r>
        <w:rPr>
          <w:rStyle w:val="40"/>
          <w:rFonts w:hint="eastAsia"/>
          <w:sz w:val="21"/>
          <w:lang w:val="en-US" w:eastAsia="zh-CN"/>
        </w:rPr>
        <w:t>企业清洁生产水平的评定</w:t>
      </w:r>
      <w:r>
        <w:rPr>
          <w:rStyle w:val="40"/>
          <w:color w:val="auto"/>
          <w:sz w:val="21"/>
          <w:u w:val="none"/>
        </w:rPr>
        <w:tab/>
      </w:r>
      <w:r>
        <w:rPr>
          <w:rStyle w:val="40"/>
          <w:rFonts w:hint="eastAsia"/>
          <w:color w:val="auto"/>
          <w:sz w:val="21"/>
          <w:u w:val="none"/>
          <w:lang w:val="en-US" w:eastAsia="zh-CN"/>
        </w:rPr>
        <w:t>1</w:t>
      </w:r>
      <w:r>
        <w:rPr>
          <w:rStyle w:val="40"/>
          <w:rFonts w:hint="eastAsia"/>
          <w:color w:val="auto"/>
          <w:sz w:val="21"/>
          <w:u w:val="none"/>
        </w:rPr>
        <w:fldChar w:fldCharType="end"/>
      </w:r>
      <w:r>
        <w:rPr>
          <w:rStyle w:val="40"/>
          <w:rFonts w:hint="eastAsia"/>
          <w:color w:val="auto"/>
          <w:sz w:val="21"/>
          <w:u w:val="none"/>
          <w:lang w:val="en-US" w:eastAsia="zh-CN"/>
        </w:rPr>
        <w:t>1</w:t>
      </w:r>
    </w:p>
    <w:p>
      <w:pPr>
        <w:pStyle w:val="31"/>
        <w:widowControl w:val="0"/>
        <w:tabs>
          <w:tab w:val="right" w:leader="dot" w:pos="9242"/>
        </w:tabs>
        <w:spacing w:before="78" w:beforeLines="25" w:beforeAutospacing="0" w:after="78" w:afterLines="25" w:afterAutospacing="0"/>
        <w:rPr>
          <w:sz w:val="21"/>
          <w:szCs w:val="21"/>
        </w:rPr>
      </w:pPr>
    </w:p>
    <w:p/>
    <w:p>
      <w:pPr>
        <w:pStyle w:val="119"/>
        <w:rPr>
          <w:rFonts w:hint="eastAsia"/>
        </w:rPr>
      </w:pPr>
      <w:r>
        <w:rPr>
          <w:rFonts w:ascii="Times New Roman" w:eastAsia="宋体"/>
          <w:kern w:val="2"/>
          <w:sz w:val="21"/>
          <w:szCs w:val="24"/>
          <w:lang w:bidi="ar"/>
        </w:rPr>
        <w:fldChar w:fldCharType="end"/>
      </w:r>
      <w:r>
        <w:rPr>
          <w:rFonts w:hint="eastAsia"/>
        </w:rPr>
        <w:t>前</w:t>
      </w:r>
      <w:r>
        <w:rPr>
          <w:rFonts w:hAnsi="黑体"/>
        </w:rPr>
        <w:t>  </w:t>
      </w:r>
      <w:r>
        <w:rPr>
          <w:rFonts w:hint="eastAsia"/>
        </w:rPr>
        <w:t>言</w:t>
      </w:r>
    </w:p>
    <w:p>
      <w:pPr>
        <w:ind w:firstLine="435"/>
        <w:rPr>
          <w:rFonts w:ascii="宋体" w:hAnsi="宋体"/>
        </w:rPr>
      </w:pPr>
      <w:r>
        <w:rPr>
          <w:rFonts w:hint="eastAsia" w:ascii="宋体" w:hAnsi="宋体"/>
        </w:rPr>
        <w:t>本文件按照</w:t>
      </w:r>
      <w:r>
        <w:rPr>
          <w:rFonts w:ascii="宋体" w:hAnsi="宋体"/>
        </w:rPr>
        <w:t>GB/T 1.1</w:t>
      </w:r>
      <w:r>
        <w:rPr>
          <w:rFonts w:hint="eastAsia" w:ascii="宋体" w:hAnsi="宋体"/>
          <w:lang w:val="en-US" w:eastAsia="zh-CN"/>
        </w:rPr>
        <w:t>—</w:t>
      </w:r>
      <w:r>
        <w:rPr>
          <w:rFonts w:ascii="宋体" w:hAnsi="宋体"/>
        </w:rPr>
        <w:t>20</w:t>
      </w:r>
      <w:r>
        <w:rPr>
          <w:rFonts w:hint="eastAsia" w:ascii="宋体" w:hAnsi="宋体"/>
        </w:rPr>
        <w:t xml:space="preserve">20《标准化工作导则 </w:t>
      </w:r>
      <w:r>
        <w:rPr>
          <w:rFonts w:ascii="宋体" w:hAnsi="宋体"/>
        </w:rPr>
        <w:t xml:space="preserve"> </w:t>
      </w:r>
      <w:r>
        <w:rPr>
          <w:rFonts w:hint="eastAsia" w:ascii="宋体" w:hAnsi="宋体"/>
        </w:rPr>
        <w:t>第1部分：标准化文件的结构和起草规则》的规定起草。</w:t>
      </w:r>
    </w:p>
    <w:p>
      <w:pPr>
        <w:pStyle w:val="24"/>
        <w:rPr>
          <w:rFonts w:hAnsi="宋体"/>
        </w:rPr>
      </w:pPr>
      <w:r>
        <w:rPr>
          <w:rFonts w:hint="eastAsia" w:hAnsi="宋体"/>
        </w:rPr>
        <w:t>本文件由</w:t>
      </w:r>
      <w:r>
        <w:rPr>
          <w:rFonts w:hint="eastAsia" w:ascii="宋体" w:hAnsi="宋体"/>
          <w:szCs w:val="21"/>
          <w:lang w:val="en-US" w:eastAsia="zh-CN"/>
        </w:rPr>
        <w:t>深圳市宝联珠宝标准与信息技术促进中心</w:t>
      </w:r>
      <w:r>
        <w:rPr>
          <w:rFonts w:hint="eastAsia" w:hAnsi="宋体"/>
        </w:rPr>
        <w:t>提出。</w:t>
      </w:r>
    </w:p>
    <w:p>
      <w:pPr>
        <w:pStyle w:val="24"/>
        <w:rPr>
          <w:rFonts w:hAnsi="宋体"/>
        </w:rPr>
      </w:pPr>
      <w:r>
        <w:rPr>
          <w:rFonts w:hint="eastAsia" w:hAnsi="宋体"/>
        </w:rPr>
        <w:t>本文件由深圳市</w:t>
      </w:r>
      <w:r>
        <w:rPr>
          <w:rFonts w:hint="eastAsia" w:hAnsi="宋体"/>
          <w:lang w:val="en-US" w:eastAsia="zh-CN"/>
        </w:rPr>
        <w:t>深圳标准促进会</w:t>
      </w:r>
      <w:r>
        <w:rPr>
          <w:rFonts w:hint="eastAsia" w:hAnsi="宋体"/>
        </w:rPr>
        <w:t>归口。</w:t>
      </w:r>
    </w:p>
    <w:p>
      <w:pPr>
        <w:ind w:firstLine="420" w:firstLineChars="200"/>
        <w:rPr>
          <w:rFonts w:ascii="宋体" w:hAnsi="宋体"/>
          <w:szCs w:val="21"/>
        </w:rPr>
      </w:pPr>
      <w:r>
        <w:rPr>
          <w:rFonts w:hint="eastAsia" w:ascii="宋体" w:hAnsi="宋体"/>
          <w:szCs w:val="21"/>
        </w:rPr>
        <w:t>本</w:t>
      </w:r>
      <w:r>
        <w:rPr>
          <w:rFonts w:hint="eastAsia" w:hAnsi="宋体"/>
        </w:rPr>
        <w:t>文件</w:t>
      </w:r>
      <w:r>
        <w:rPr>
          <w:rFonts w:hint="eastAsia" w:ascii="宋体" w:hAnsi="宋体"/>
          <w:szCs w:val="21"/>
        </w:rPr>
        <w:t>起草单位：</w:t>
      </w:r>
    </w:p>
    <w:p>
      <w:pPr>
        <w:ind w:firstLine="420" w:firstLineChars="200"/>
        <w:rPr>
          <w:rFonts w:hint="eastAsia" w:ascii="宋体" w:hAnsi="宋体" w:eastAsia="宋体"/>
          <w:szCs w:val="21"/>
          <w:lang w:eastAsia="zh-CN"/>
        </w:rPr>
      </w:pPr>
      <w:r>
        <w:rPr>
          <w:rFonts w:hint="eastAsia" w:ascii="宋体" w:hAnsi="宋体"/>
          <w:szCs w:val="21"/>
        </w:rPr>
        <w:t>本文件主要起草人：</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123"/>
        <w:jc w:val="both"/>
        <w:rPr>
          <w:rFonts w:hint="eastAsia"/>
        </w:rPr>
        <w:sectPr>
          <w:headerReference r:id="rId5" w:type="default"/>
          <w:footerReference r:id="rId6"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pPr>
        <w:pStyle w:val="119"/>
        <w:bidi w:val="0"/>
        <w:rPr>
          <w:rFonts w:hint="eastAsia"/>
        </w:rPr>
      </w:pPr>
      <w:r>
        <w:rPr>
          <w:rFonts w:hint="eastAsia"/>
          <w:lang w:val="en-US" w:eastAsia="zh-CN"/>
        </w:rPr>
        <w:t>引</w:t>
      </w:r>
      <w:r>
        <w:rPr>
          <w:rFonts w:hint="eastAsia"/>
        </w:rPr>
        <w:t>  言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宋体" w:hAnsi="宋体"/>
        </w:rPr>
      </w:pPr>
      <w:r>
        <w:rPr>
          <w:rFonts w:hint="eastAsia" w:ascii="宋体" w:hAnsi="宋体"/>
        </w:rPr>
        <w:t>为认真执行《中华人民共和国清洁生产促进法》，落实国家和深圳市关于碳达峰碳中和工作部署，指导和推动深圳市黄金珠宝加工制造企业依法实施清洁生产，提高资源利用率，减少和避免污染物的产生，保护和改善环境，制定贵金属饰品行业清洁生产评价指标体系（以下简称指标体系）。</w:t>
      </w:r>
    </w:p>
    <w:p>
      <w:pPr>
        <w:keepNext w:val="0"/>
        <w:keepLines w:val="0"/>
        <w:pageBreakBefore w:val="0"/>
        <w:widowControl w:val="0"/>
        <w:kinsoku/>
        <w:wordWrap/>
        <w:overflowPunct/>
        <w:topLinePunct w:val="0"/>
        <w:autoSpaceDE/>
        <w:autoSpaceDN/>
        <w:bidi w:val="0"/>
        <w:adjustRightInd/>
        <w:snapToGrid/>
        <w:ind w:firstLine="435"/>
        <w:textAlignment w:val="auto"/>
        <w:rPr>
          <w:rFonts w:hint="eastAsia"/>
        </w:rPr>
        <w:sectPr>
          <w:footerReference r:id="rId7" w:type="default"/>
          <w:footerReference r:id="rId8" w:type="even"/>
          <w:pgSz w:w="11906" w:h="16838"/>
          <w:pgMar w:top="567" w:right="1134" w:bottom="1134" w:left="1418" w:header="1418" w:footer="1134" w:gutter="0"/>
          <w:pgBorders>
            <w:top w:val="none" w:sz="0" w:space="0"/>
            <w:left w:val="none" w:sz="0" w:space="0"/>
            <w:bottom w:val="none" w:sz="0" w:space="0"/>
            <w:right w:val="none" w:sz="0" w:space="0"/>
          </w:pgBorders>
          <w:pgNumType w:fmt="upperRoman"/>
          <w:cols w:space="720" w:num="1"/>
          <w:formProt w:val="0"/>
          <w:docGrid w:type="lines" w:linePitch="312" w:charSpace="0"/>
        </w:sectPr>
      </w:pPr>
      <w:r>
        <w:rPr>
          <w:rFonts w:hint="eastAsia"/>
        </w:rPr>
        <w:t>本指标体系依据综合评价所得分值将清洁生产等级划分为三级：Ⅰ级为国际清洁生产领先水平；Ⅱ级为国内清洁生产先进水平；Ⅲ级为国内清洁生产一般水平。随着技术的不断进步和发展，本评价指标体系将适时修订</w:t>
      </w:r>
      <w:r>
        <w:rPr>
          <w:rFonts w:hint="eastAsia" w:ascii="宋体" w:hAnsi="宋体"/>
        </w:rPr>
        <w:t>。</w:t>
      </w:r>
    </w:p>
    <w:p>
      <w:pPr>
        <w:pStyle w:val="123"/>
        <w:rPr>
          <w:rFonts w:hint="eastAsia"/>
        </w:rPr>
      </w:pPr>
      <w:bookmarkStart w:id="7" w:name="StandardName"/>
      <w:r>
        <w:rPr>
          <w:rFonts w:hint="eastAsia"/>
        </w:rPr>
        <w:t>贵金属饰品行业清洁生产评价指标体系</w:t>
      </w:r>
      <w:bookmarkEnd w:id="7"/>
    </w:p>
    <w:p>
      <w:pPr>
        <w:pStyle w:val="49"/>
        <w:rPr>
          <w:rFonts w:hint="eastAsia"/>
        </w:rPr>
      </w:pPr>
      <w:r>
        <w:rPr>
          <w:rFonts w:hint="eastAsia"/>
        </w:rPr>
        <w:t>范围</w:t>
      </w:r>
    </w:p>
    <w:p>
      <w:pPr>
        <w:pStyle w:val="24"/>
        <w:rPr>
          <w:rFonts w:hint="eastAsia"/>
        </w:rPr>
      </w:pPr>
      <w:r>
        <w:rPr>
          <w:rFonts w:hint="eastAsia"/>
        </w:rPr>
        <w:t>本文件规定了贵金属饰品行业清洁生产的术语和定义、评价指标体系、评价方法、指标计算与数据来源。</w:t>
      </w:r>
    </w:p>
    <w:p>
      <w:pPr>
        <w:pStyle w:val="24"/>
        <w:rPr>
          <w:rFonts w:hint="eastAsia" w:ascii="宋体" w:hAnsi="宋体"/>
          <w:szCs w:val="21"/>
        </w:rPr>
      </w:pPr>
      <w:r>
        <w:rPr>
          <w:rFonts w:hint="eastAsia"/>
        </w:rPr>
        <w:t>本文件适用于贵金属及珠宝玉石饰品行业清洁生产技术文件的制定和企业清洁生产的实施及审核、评估与评价</w:t>
      </w:r>
      <w:r>
        <w:rPr>
          <w:rFonts w:hint="eastAsia" w:ascii="宋体" w:hAnsi="宋体"/>
          <w:szCs w:val="21"/>
          <w:lang w:val="en-US" w:eastAsia="zh-CN"/>
        </w:rPr>
        <w:t xml:space="preserve">。 </w:t>
      </w:r>
    </w:p>
    <w:p>
      <w:pPr>
        <w:pStyle w:val="49"/>
        <w:rPr>
          <w:rFonts w:hint="eastAsia"/>
        </w:rPr>
      </w:pPr>
      <w:r>
        <w:rPr>
          <w:rFonts w:hint="eastAsia"/>
        </w:rPr>
        <w:t>规范性引用文件</w:t>
      </w:r>
    </w:p>
    <w:p>
      <w:pPr>
        <w:pStyle w:val="24"/>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4"/>
        <w:rPr>
          <w:rFonts w:hAnsi="宋体"/>
        </w:rPr>
      </w:pPr>
      <w:r>
        <w:rPr>
          <w:rFonts w:hint="eastAsia" w:hAnsi="宋体"/>
        </w:rPr>
        <w:t>GB 11887</w:t>
      </w:r>
      <w:r>
        <w:rPr>
          <w:rFonts w:hint="eastAsia" w:hAnsi="宋体"/>
          <w:lang w:val="en-US" w:eastAsia="zh-CN"/>
        </w:rPr>
        <w:t xml:space="preserve">  </w:t>
      </w:r>
      <w:r>
        <w:rPr>
          <w:rFonts w:hint="eastAsia" w:hAnsi="宋体"/>
        </w:rPr>
        <w:t xml:space="preserve">首饰 </w:t>
      </w:r>
      <w:r>
        <w:rPr>
          <w:rFonts w:hint="eastAsia" w:hAnsi="宋体"/>
          <w:lang w:val="en-US" w:eastAsia="zh-CN"/>
        </w:rPr>
        <w:t xml:space="preserve"> </w:t>
      </w:r>
      <w:r>
        <w:rPr>
          <w:rFonts w:hint="eastAsia" w:hAnsi="宋体"/>
        </w:rPr>
        <w:t>贵金属纯度的规定及命名方法</w:t>
      </w:r>
    </w:p>
    <w:p>
      <w:pPr>
        <w:pStyle w:val="24"/>
        <w:rPr>
          <w:rFonts w:hint="eastAsia" w:hAnsi="宋体"/>
        </w:rPr>
      </w:pPr>
      <w:r>
        <w:rPr>
          <w:rFonts w:hint="eastAsia" w:hAnsi="宋体"/>
        </w:rPr>
        <w:t>GB 12348</w:t>
      </w:r>
      <w:r>
        <w:rPr>
          <w:rFonts w:hint="eastAsia" w:hAnsi="宋体"/>
          <w:lang w:val="en-US" w:eastAsia="zh-CN"/>
        </w:rPr>
        <w:t xml:space="preserve">  </w:t>
      </w:r>
      <w:r>
        <w:rPr>
          <w:rFonts w:hint="eastAsia" w:hAnsi="宋体"/>
        </w:rPr>
        <w:t>工业企业厂界环境噪声排放标准</w:t>
      </w:r>
    </w:p>
    <w:p>
      <w:pPr>
        <w:pStyle w:val="24"/>
        <w:rPr>
          <w:rFonts w:hint="eastAsia" w:hAnsi="宋体"/>
        </w:rPr>
      </w:pPr>
      <w:r>
        <w:rPr>
          <w:rFonts w:hint="eastAsia" w:hAnsi="宋体"/>
        </w:rPr>
        <w:t>GB 18597</w:t>
      </w:r>
      <w:r>
        <w:rPr>
          <w:rFonts w:hint="eastAsia" w:hAnsi="宋体"/>
          <w:lang w:val="en-US" w:eastAsia="zh-CN"/>
        </w:rPr>
        <w:t xml:space="preserve">  </w:t>
      </w:r>
      <w:r>
        <w:rPr>
          <w:rFonts w:hint="eastAsia" w:hAnsi="宋体"/>
        </w:rPr>
        <w:t>危险废物贮存污染控制标准</w:t>
      </w:r>
    </w:p>
    <w:p>
      <w:pPr>
        <w:pStyle w:val="24"/>
        <w:rPr>
          <w:rFonts w:hint="eastAsia" w:hAnsi="宋体"/>
        </w:rPr>
      </w:pPr>
      <w:r>
        <w:rPr>
          <w:rFonts w:hint="eastAsia" w:hAnsi="宋体"/>
        </w:rPr>
        <w:t>GB 18599</w:t>
      </w:r>
      <w:r>
        <w:rPr>
          <w:rFonts w:hint="eastAsia" w:hAnsi="宋体"/>
          <w:lang w:val="en-US" w:eastAsia="zh-CN"/>
        </w:rPr>
        <w:t xml:space="preserve">  </w:t>
      </w:r>
      <w:r>
        <w:rPr>
          <w:rFonts w:hint="eastAsia" w:hAnsi="宋体"/>
        </w:rPr>
        <w:t>一般工业固体废物贮存</w:t>
      </w:r>
      <w:r>
        <w:rPr>
          <w:rFonts w:hint="eastAsia" w:hAnsi="宋体"/>
          <w:lang w:val="en-US" w:eastAsia="zh-CN"/>
        </w:rPr>
        <w:t>和填埋</w:t>
      </w:r>
      <w:r>
        <w:rPr>
          <w:rFonts w:hint="eastAsia" w:hAnsi="宋体"/>
        </w:rPr>
        <w:t>污染控制标准</w:t>
      </w:r>
    </w:p>
    <w:p>
      <w:pPr>
        <w:pStyle w:val="24"/>
        <w:rPr>
          <w:rFonts w:hint="eastAsia" w:hAnsi="宋体"/>
        </w:rPr>
      </w:pPr>
      <w:r>
        <w:rPr>
          <w:rFonts w:hint="eastAsia" w:hAnsi="宋体"/>
        </w:rPr>
        <w:t>GBZ 2.1</w:t>
      </w:r>
      <w:r>
        <w:rPr>
          <w:rFonts w:hint="eastAsia" w:hAnsi="宋体"/>
          <w:lang w:val="en-US" w:eastAsia="zh-CN"/>
        </w:rPr>
        <w:t xml:space="preserve">  </w:t>
      </w:r>
      <w:r>
        <w:rPr>
          <w:rFonts w:hint="eastAsia" w:hAnsi="宋体"/>
        </w:rPr>
        <w:t>工作场所有害因素职业接触限值</w:t>
      </w:r>
      <w:r>
        <w:rPr>
          <w:rFonts w:hint="eastAsia" w:hAnsi="宋体"/>
          <w:lang w:val="en-US" w:eastAsia="zh-CN"/>
        </w:rPr>
        <w:t xml:space="preserve">  </w:t>
      </w:r>
      <w:r>
        <w:rPr>
          <w:rFonts w:hint="eastAsia" w:hAnsi="宋体"/>
        </w:rPr>
        <w:t>第1</w:t>
      </w:r>
      <w:r>
        <w:rPr>
          <w:rFonts w:hint="eastAsia" w:hAnsi="宋体"/>
          <w:lang w:val="en-US" w:eastAsia="zh-CN"/>
        </w:rPr>
        <w:t xml:space="preserve"> </w:t>
      </w:r>
      <w:r>
        <w:rPr>
          <w:rFonts w:hint="eastAsia" w:hAnsi="宋体"/>
        </w:rPr>
        <w:t>部分：化学有害因素</w:t>
      </w:r>
    </w:p>
    <w:p>
      <w:pPr>
        <w:pStyle w:val="24"/>
        <w:rPr>
          <w:rFonts w:hint="eastAsia" w:hAnsi="宋体"/>
        </w:rPr>
      </w:pPr>
      <w:r>
        <w:rPr>
          <w:rFonts w:hint="eastAsia" w:hAnsi="宋体"/>
        </w:rPr>
        <w:t>GB/T 24001</w:t>
      </w:r>
      <w:r>
        <w:rPr>
          <w:rFonts w:hint="eastAsia" w:hAnsi="宋体"/>
          <w:lang w:val="en-US" w:eastAsia="zh-CN"/>
        </w:rPr>
        <w:t xml:space="preserve">  </w:t>
      </w:r>
      <w:r>
        <w:rPr>
          <w:rFonts w:hint="eastAsia" w:hAnsi="宋体"/>
        </w:rPr>
        <w:t xml:space="preserve">环境管理体系 </w:t>
      </w:r>
      <w:r>
        <w:rPr>
          <w:rFonts w:hint="eastAsia" w:hAnsi="宋体"/>
          <w:lang w:val="en-US" w:eastAsia="zh-CN"/>
        </w:rPr>
        <w:t xml:space="preserve"> </w:t>
      </w:r>
      <w:r>
        <w:rPr>
          <w:rFonts w:hint="eastAsia" w:hAnsi="宋体"/>
        </w:rPr>
        <w:t>要求及使用指南</w:t>
      </w:r>
    </w:p>
    <w:p>
      <w:pPr>
        <w:pStyle w:val="24"/>
        <w:rPr>
          <w:rFonts w:hint="eastAsia"/>
        </w:rPr>
      </w:pPr>
      <w:r>
        <w:t>GB/T 25973</w:t>
      </w:r>
      <w:r>
        <w:rPr>
          <w:rFonts w:hint="eastAsia"/>
          <w:lang w:val="en-US" w:eastAsia="zh-CN"/>
        </w:rPr>
        <w:t xml:space="preserve">  </w:t>
      </w:r>
      <w:r>
        <w:rPr>
          <w:rFonts w:hint="eastAsia"/>
        </w:rPr>
        <w:t xml:space="preserve">工业企业清洁生产审核 </w:t>
      </w:r>
      <w:r>
        <w:rPr>
          <w:rFonts w:hint="eastAsia"/>
          <w:lang w:val="en-US" w:eastAsia="zh-CN"/>
        </w:rPr>
        <w:t xml:space="preserve"> </w:t>
      </w:r>
      <w:r>
        <w:rPr>
          <w:rFonts w:hint="eastAsia"/>
        </w:rPr>
        <w:t>技术导则</w:t>
      </w:r>
    </w:p>
    <w:p>
      <w:pPr>
        <w:pStyle w:val="24"/>
        <w:rPr>
          <w:rFonts w:hint="eastAsia"/>
        </w:rPr>
      </w:pPr>
      <w:r>
        <w:rPr>
          <w:rFonts w:hint="eastAsia"/>
        </w:rPr>
        <w:t>GB 28480</w:t>
      </w:r>
      <w:r>
        <w:rPr>
          <w:rFonts w:hint="eastAsia"/>
          <w:lang w:val="en-US" w:eastAsia="zh-CN"/>
        </w:rPr>
        <w:t xml:space="preserve">  </w:t>
      </w:r>
      <w:r>
        <w:rPr>
          <w:rFonts w:hint="eastAsia"/>
        </w:rPr>
        <w:t xml:space="preserve">饰品 </w:t>
      </w:r>
      <w:r>
        <w:rPr>
          <w:rFonts w:hint="eastAsia"/>
          <w:lang w:val="en-US" w:eastAsia="zh-CN"/>
        </w:rPr>
        <w:t xml:space="preserve"> </w:t>
      </w:r>
      <w:r>
        <w:rPr>
          <w:rFonts w:hint="eastAsia"/>
        </w:rPr>
        <w:t>有害元素限量的规定</w:t>
      </w:r>
    </w:p>
    <w:p>
      <w:pPr>
        <w:pStyle w:val="24"/>
      </w:pPr>
      <w:r>
        <w:rPr>
          <w:rFonts w:hint="eastAsia"/>
        </w:rPr>
        <w:t>GB/T 31912</w:t>
      </w:r>
      <w:r>
        <w:rPr>
          <w:rFonts w:hint="eastAsia"/>
          <w:lang w:val="en-US" w:eastAsia="zh-CN"/>
        </w:rPr>
        <w:t xml:space="preserve">  </w:t>
      </w:r>
      <w:r>
        <w:rPr>
          <w:rFonts w:hint="eastAsia"/>
        </w:rPr>
        <w:t xml:space="preserve">饰品 </w:t>
      </w:r>
      <w:r>
        <w:rPr>
          <w:rFonts w:hint="eastAsia"/>
          <w:lang w:val="en-US" w:eastAsia="zh-CN"/>
        </w:rPr>
        <w:t xml:space="preserve"> </w:t>
      </w:r>
      <w:r>
        <w:rPr>
          <w:rFonts w:hint="eastAsia"/>
        </w:rPr>
        <w:t>标识</w:t>
      </w:r>
    </w:p>
    <w:p>
      <w:pPr>
        <w:pStyle w:val="24"/>
        <w:rPr>
          <w:rFonts w:hint="eastAsia"/>
        </w:rPr>
      </w:pPr>
      <w:r>
        <w:t>GB 34330</w:t>
      </w:r>
      <w:r>
        <w:rPr>
          <w:rFonts w:hint="eastAsia"/>
          <w:lang w:val="en-US" w:eastAsia="zh-CN"/>
        </w:rPr>
        <w:t xml:space="preserve">  </w:t>
      </w:r>
      <w:r>
        <w:rPr>
          <w:rFonts w:hint="eastAsia"/>
        </w:rPr>
        <w:t xml:space="preserve">固体废物鉴别标准 </w:t>
      </w:r>
      <w:r>
        <w:rPr>
          <w:rFonts w:hint="eastAsia"/>
          <w:lang w:val="en-US" w:eastAsia="zh-CN"/>
        </w:rPr>
        <w:t xml:space="preserve"> </w:t>
      </w:r>
      <w:r>
        <w:rPr>
          <w:rFonts w:hint="eastAsia"/>
        </w:rPr>
        <w:t>通则</w:t>
      </w:r>
    </w:p>
    <w:p>
      <w:pPr>
        <w:pStyle w:val="24"/>
        <w:rPr>
          <w:rFonts w:hint="eastAsia"/>
        </w:rPr>
      </w:pPr>
      <w:r>
        <w:t>GB/Z 38623</w:t>
      </w:r>
      <w:r>
        <w:rPr>
          <w:rFonts w:hint="eastAsia"/>
          <w:lang w:val="en-US" w:eastAsia="zh-CN"/>
        </w:rPr>
        <w:t xml:space="preserve">  </w:t>
      </w:r>
      <w:r>
        <w:rPr>
          <w:rFonts w:hint="eastAsia"/>
        </w:rPr>
        <w:t>智能制造</w:t>
      </w:r>
      <w:r>
        <w:rPr>
          <w:rFonts w:hint="eastAsia"/>
          <w:lang w:val="en-US" w:eastAsia="zh-CN"/>
        </w:rPr>
        <w:t xml:space="preserve">  </w:t>
      </w:r>
      <w:r>
        <w:rPr>
          <w:rFonts w:hint="eastAsia"/>
        </w:rPr>
        <w:t xml:space="preserve">人机交互系统 </w:t>
      </w:r>
      <w:r>
        <w:rPr>
          <w:rFonts w:hint="eastAsia"/>
          <w:lang w:val="en-US" w:eastAsia="zh-CN"/>
        </w:rPr>
        <w:t xml:space="preserve"> </w:t>
      </w:r>
      <w:r>
        <w:rPr>
          <w:rFonts w:hint="eastAsia"/>
        </w:rPr>
        <w:t>语义库技术要求</w:t>
      </w:r>
    </w:p>
    <w:p>
      <w:pPr>
        <w:pStyle w:val="24"/>
        <w:rPr>
          <w:rFonts w:hint="eastAsia"/>
        </w:rPr>
      </w:pPr>
      <w:r>
        <w:rPr>
          <w:rFonts w:hint="eastAsia"/>
        </w:rPr>
        <w:t>QB/T 5234</w:t>
      </w:r>
      <w:r>
        <w:rPr>
          <w:rFonts w:hint="eastAsia"/>
          <w:lang w:val="en-US" w:eastAsia="zh-CN"/>
        </w:rPr>
        <w:t xml:space="preserve">  </w:t>
      </w:r>
      <w:r>
        <w:rPr>
          <w:rFonts w:hint="eastAsia"/>
        </w:rPr>
        <w:t>贵金属饰品</w:t>
      </w:r>
      <w:r>
        <w:rPr>
          <w:rFonts w:hint="eastAsia"/>
          <w:lang w:val="en-US" w:eastAsia="zh-CN"/>
        </w:rPr>
        <w:t xml:space="preserve"> </w:t>
      </w:r>
      <w:r>
        <w:rPr>
          <w:rFonts w:hint="eastAsia"/>
        </w:rPr>
        <w:t xml:space="preserve"> 回收处理技术规范</w:t>
      </w:r>
    </w:p>
    <w:p>
      <w:pPr>
        <w:pStyle w:val="24"/>
        <w:rPr>
          <w:rFonts w:hint="eastAsia"/>
        </w:rPr>
      </w:pPr>
      <w:r>
        <w:rPr>
          <w:rFonts w:hint="eastAsia"/>
        </w:rPr>
        <w:t>SZJG 39</w:t>
      </w:r>
      <w:r>
        <w:rPr>
          <w:rFonts w:hint="eastAsia"/>
          <w:lang w:val="en-US" w:eastAsia="zh-CN"/>
        </w:rPr>
        <w:t xml:space="preserve">  </w:t>
      </w:r>
      <w:r>
        <w:rPr>
          <w:rFonts w:hint="eastAsia"/>
        </w:rPr>
        <w:t>贵金属饰品加工企业安全生产要求</w:t>
      </w:r>
    </w:p>
    <w:p>
      <w:pPr>
        <w:pStyle w:val="24"/>
        <w:rPr>
          <w:rFonts w:hint="eastAsia"/>
        </w:rPr>
      </w:pPr>
      <w:r>
        <w:rPr>
          <w:rFonts w:hint="eastAsia"/>
        </w:rPr>
        <w:t xml:space="preserve">SZJG 41 </w:t>
      </w:r>
      <w:r>
        <w:rPr>
          <w:rFonts w:hint="eastAsia"/>
          <w:lang w:val="en-US" w:eastAsia="zh-CN"/>
        </w:rPr>
        <w:t xml:space="preserve"> </w:t>
      </w:r>
      <w:r>
        <w:rPr>
          <w:rFonts w:hint="eastAsia"/>
        </w:rPr>
        <w:t>贵金属饰品加工企业废气处理及排放技术规范</w:t>
      </w:r>
    </w:p>
    <w:p>
      <w:pPr>
        <w:pStyle w:val="24"/>
        <w:rPr>
          <w:rFonts w:hint="eastAsia"/>
        </w:rPr>
      </w:pPr>
      <w:r>
        <w:rPr>
          <w:rFonts w:hint="eastAsia"/>
        </w:rPr>
        <w:t xml:space="preserve">SZJG 42 </w:t>
      </w:r>
      <w:r>
        <w:rPr>
          <w:rFonts w:hint="eastAsia"/>
          <w:lang w:val="en-US" w:eastAsia="zh-CN"/>
        </w:rPr>
        <w:t xml:space="preserve"> </w:t>
      </w:r>
      <w:r>
        <w:rPr>
          <w:rFonts w:hint="eastAsia"/>
        </w:rPr>
        <w:t>贵金属饰品加工企业废水处理及排放技术规范</w:t>
      </w:r>
    </w:p>
    <w:p>
      <w:pPr>
        <w:pStyle w:val="49"/>
        <w:rPr>
          <w:rFonts w:hint="eastAsia"/>
        </w:rPr>
      </w:pPr>
      <w:r>
        <w:rPr>
          <w:rFonts w:hint="eastAsia"/>
        </w:rPr>
        <w:t>术语和定义</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《清洁生产评价指标体系编制通则》（试行稿）界定的以及下列术语和定义适用于本文件。</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w:t>
      </w:r>
    </w:p>
    <w:p>
      <w:pPr>
        <w:pStyle w:val="24"/>
        <w:rPr>
          <w:rFonts w:ascii="黑体" w:hAnsi="黑体" w:eastAsia="黑体"/>
        </w:rPr>
      </w:pPr>
      <w:r>
        <w:rPr>
          <w:rFonts w:hint="eastAsia" w:ascii="黑体" w:hAnsi="黑体" w:eastAsia="黑体"/>
        </w:rPr>
        <w:t xml:space="preserve">清洁生产 </w:t>
      </w:r>
      <w:r>
        <w:rPr>
          <w:rFonts w:ascii="黑体" w:hAnsi="黑体" w:eastAsia="黑体"/>
        </w:rPr>
        <w:t xml:space="preserve"> cleaner production</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3.2</w:t>
      </w:r>
    </w:p>
    <w:p>
      <w:pPr>
        <w:pStyle w:val="24"/>
        <w:rPr>
          <w:rFonts w:ascii="黑体" w:hAnsi="黑体" w:eastAsia="黑体"/>
        </w:rPr>
      </w:pPr>
      <w:r>
        <w:rPr>
          <w:rFonts w:hint="eastAsia" w:ascii="黑体" w:hAnsi="黑体" w:eastAsia="黑体"/>
        </w:rPr>
        <w:t xml:space="preserve">清洁生产评价指标体系 </w:t>
      </w:r>
      <w:r>
        <w:rPr>
          <w:rFonts w:ascii="黑体" w:hAnsi="黑体" w:eastAsia="黑体"/>
        </w:rPr>
        <w:t xml:space="preserve"> assessment indicator system of cleaner production</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由相互联系、相互独立、互相补充的系列清洁生产评价指标所组成，用于衡量清洁生产状态的指标集合。</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3.3</w:t>
      </w:r>
    </w:p>
    <w:p>
      <w:pPr>
        <w:pStyle w:val="24"/>
        <w:rPr>
          <w:rFonts w:ascii="黑体" w:hAnsi="黑体" w:eastAsia="黑体"/>
        </w:rPr>
      </w:pPr>
      <w:r>
        <w:rPr>
          <w:rFonts w:hint="eastAsia" w:ascii="黑体" w:hAnsi="黑体" w:eastAsia="黑体"/>
        </w:rPr>
        <w:t xml:space="preserve">限定性指标 </w:t>
      </w:r>
      <w:r>
        <w:rPr>
          <w:rFonts w:ascii="黑体" w:hAnsi="黑体" w:eastAsia="黑体"/>
        </w:rPr>
        <w:t xml:space="preserve"> </w:t>
      </w:r>
      <w:r>
        <w:rPr>
          <w:rFonts w:hint="eastAsia" w:ascii="黑体" w:hAnsi="黑体" w:eastAsia="黑体"/>
        </w:rPr>
        <w:t>comprehensive utilization</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在清洁生产水平评价体系指标中规定的，对节能减排有重大影响的指标，或法律法规明确规定严格执行的指标。</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3.4</w:t>
      </w:r>
    </w:p>
    <w:p>
      <w:pPr>
        <w:pStyle w:val="24"/>
        <w:rPr>
          <w:rFonts w:ascii="黑体" w:hAnsi="黑体" w:eastAsia="黑体"/>
        </w:rPr>
      </w:pPr>
      <w:r>
        <w:rPr>
          <w:rFonts w:hint="eastAsia" w:ascii="黑体" w:hAnsi="黑体" w:eastAsia="黑体"/>
        </w:rPr>
        <w:t xml:space="preserve">工业废水 </w:t>
      </w:r>
      <w:r>
        <w:rPr>
          <w:rFonts w:ascii="黑体" w:hAnsi="黑体" w:eastAsia="黑体"/>
        </w:rPr>
        <w:t xml:space="preserve"> </w:t>
      </w:r>
      <w:r>
        <w:rPr>
          <w:rFonts w:ascii="黑体" w:hAnsi="黑体" w:eastAsia="黑体" w:cs="宋体"/>
          <w:szCs w:val="21"/>
        </w:rPr>
        <w:t>industrial wastewater</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rPr>
        <w:t>企业在</w:t>
      </w:r>
      <w:r>
        <w:t>生产过程中排出的</w:t>
      </w:r>
      <w:r>
        <w:rPr>
          <w:rFonts w:hint="eastAsia"/>
        </w:rPr>
        <w:t>一切液态废弃物的</w:t>
      </w:r>
      <w:r>
        <w:t>总称</w:t>
      </w:r>
      <w:r>
        <w:rPr>
          <w:rFonts w:hint="eastAsia" w:hAnsi="宋体"/>
        </w:rPr>
        <w:t>,其中含有随水流失的工业生产用料、中间产物、副产品以及生产过程中产生的污染物。根据贵金属饰品加工企业工业废水所含污染物类型，将工业废水分为含氟废水和不含氟废水，分类收集</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szCs w:val="21"/>
        </w:rPr>
        <w:t>[来源：SZJG 42-2012</w:t>
      </w:r>
      <w:r>
        <w:rPr>
          <w:rFonts w:hint="eastAsia"/>
          <w:szCs w:val="21"/>
          <w:lang w:eastAsia="zh-CN"/>
        </w:rPr>
        <w:t>，</w:t>
      </w:r>
      <w:r>
        <w:rPr>
          <w:rFonts w:hint="eastAsia"/>
          <w:szCs w:val="21"/>
        </w:rPr>
        <w:t>定义3.1]</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3.5</w:t>
      </w:r>
    </w:p>
    <w:p>
      <w:pPr>
        <w:pStyle w:val="24"/>
        <w:rPr>
          <w:rFonts w:ascii="黑体" w:hAnsi="黑体" w:eastAsia="黑体"/>
        </w:rPr>
      </w:pPr>
      <w:r>
        <w:rPr>
          <w:rFonts w:hint="eastAsia" w:ascii="黑体" w:hAnsi="黑体" w:eastAsia="黑体"/>
        </w:rPr>
        <w:t xml:space="preserve">工业废气 </w:t>
      </w:r>
      <w:r>
        <w:rPr>
          <w:rFonts w:ascii="黑体" w:hAnsi="黑体" w:eastAsia="黑体"/>
        </w:rPr>
        <w:t xml:space="preserve"> </w:t>
      </w:r>
      <w:r>
        <w:rPr>
          <w:rFonts w:ascii="黑体" w:hAnsi="黑体" w:eastAsia="黑体" w:cs="宋体"/>
          <w:szCs w:val="21"/>
        </w:rPr>
        <w:t>industrial wastegas</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rPr>
        <w:t>企业厂区内燃料燃烧和生产工艺过程中产生的各种排入空气的含有污染物气体的总称。贵金属饰品加工企业工业废气的产生主要包括在熔金、烧蜡模等工序中产生的烟气废气，在电金、炸酸、制模工序中产生的酸性废气，在置换回收王水反应过程产生的酸雾废气，在置换回收硫化钠反应过程产生的废气及在焙烧铸模等工序中产生的烟气废气等</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szCs w:val="21"/>
        </w:rPr>
        <w:t>[来源：SZJG 41-2012</w:t>
      </w:r>
      <w:r>
        <w:rPr>
          <w:rFonts w:hint="eastAsia"/>
          <w:szCs w:val="21"/>
          <w:lang w:eastAsia="zh-CN"/>
        </w:rPr>
        <w:t>，</w:t>
      </w:r>
      <w:r>
        <w:rPr>
          <w:rFonts w:hint="eastAsia"/>
          <w:szCs w:val="21"/>
        </w:rPr>
        <w:t>定义3.1]</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3.6</w:t>
      </w:r>
    </w:p>
    <w:p>
      <w:pPr>
        <w:pStyle w:val="24"/>
        <w:rPr>
          <w:rFonts w:ascii="黑体" w:hAnsi="黑体" w:eastAsia="黑体"/>
        </w:rPr>
      </w:pPr>
      <w:r>
        <w:rPr>
          <w:rFonts w:hint="eastAsia" w:ascii="黑体" w:hAnsi="黑体" w:eastAsia="黑体"/>
        </w:rPr>
        <w:t xml:space="preserve">固体废物 </w:t>
      </w:r>
      <w:r>
        <w:rPr>
          <w:rFonts w:ascii="黑体" w:hAnsi="黑体" w:eastAsia="黑体"/>
        </w:rPr>
        <w:t xml:space="preserve"> </w:t>
      </w:r>
      <w:r>
        <w:rPr>
          <w:rFonts w:hint="eastAsia" w:ascii="黑体" w:hAnsi="黑体" w:eastAsia="黑体"/>
        </w:rPr>
        <w:t>solid wastes</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在</w:t>
      </w:r>
      <w:r>
        <w:rPr>
          <w:rFonts w:hint="eastAsia"/>
          <w:b w:val="0"/>
          <w:bCs/>
          <w:color w:val="auto"/>
        </w:rPr>
        <w:t>企业</w:t>
      </w:r>
      <w:r>
        <w:rPr>
          <w:rFonts w:hint="eastAsia"/>
        </w:rPr>
        <w:t>生产、生活和其他活动中产生的丧失原有利用价值或者虽未丧失利用价值但被抛弃或者放弃的固态、半固态和置于容器中的气态的物品、物质以及法律、行政法规规定纳入固体废物管理的物品、物质。</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szCs w:val="21"/>
        </w:rPr>
        <w:t>[来源：GB 34330-2017</w:t>
      </w:r>
      <w:r>
        <w:rPr>
          <w:rFonts w:hint="eastAsia"/>
          <w:szCs w:val="21"/>
          <w:lang w:eastAsia="zh-CN"/>
        </w:rPr>
        <w:t>，</w:t>
      </w:r>
      <w:r>
        <w:rPr>
          <w:rFonts w:hint="eastAsia"/>
          <w:szCs w:val="21"/>
        </w:rPr>
        <w:t>定义3.1</w:t>
      </w:r>
      <w:r>
        <w:rPr>
          <w:rFonts w:hint="eastAsia"/>
          <w:szCs w:val="21"/>
          <w:lang w:eastAsia="zh-CN"/>
        </w:rPr>
        <w:t>，</w:t>
      </w:r>
      <w:r>
        <w:rPr>
          <w:rFonts w:hint="eastAsia"/>
          <w:szCs w:val="21"/>
          <w:lang w:val="en-US" w:eastAsia="zh-CN"/>
        </w:rPr>
        <w:t>有修改</w:t>
      </w:r>
      <w:r>
        <w:rPr>
          <w:rFonts w:hint="eastAsia"/>
          <w:szCs w:val="21"/>
        </w:rPr>
        <w:t>]</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3.7</w:t>
      </w:r>
    </w:p>
    <w:p>
      <w:pPr>
        <w:pStyle w:val="24"/>
        <w:rPr>
          <w:rFonts w:ascii="黑体" w:hAnsi="黑体" w:eastAsia="黑体"/>
        </w:rPr>
      </w:pPr>
      <w:r>
        <w:rPr>
          <w:rFonts w:hint="eastAsia" w:ascii="黑体" w:hAnsi="黑体" w:eastAsia="黑体"/>
        </w:rPr>
        <w:t xml:space="preserve">废液 </w:t>
      </w:r>
      <w:r>
        <w:rPr>
          <w:rFonts w:ascii="黑体" w:hAnsi="黑体" w:eastAsia="黑体"/>
        </w:rPr>
        <w:t xml:space="preserve"> </w:t>
      </w:r>
      <w:r>
        <w:rPr>
          <w:rFonts w:hint="eastAsia" w:ascii="黑体" w:hAnsi="黑体" w:eastAsia="黑体"/>
        </w:rPr>
        <w:t>waste liquid</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贵金属饰品加工过程使用强酸（浓硫酸、浓盐酸等）或XX等后产生的含有难溶于水且相对稳定的化学物质的废弃液体。</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3.8</w:t>
      </w:r>
    </w:p>
    <w:p>
      <w:pPr>
        <w:pStyle w:val="24"/>
        <w:rPr>
          <w:rFonts w:ascii="黑体" w:hAnsi="黑体" w:eastAsia="黑体"/>
        </w:rPr>
      </w:pPr>
      <w:r>
        <w:rPr>
          <w:rFonts w:hint="eastAsia" w:ascii="黑体" w:hAnsi="黑体" w:eastAsia="黑体" w:cs="宋体"/>
          <w:color w:val="000000"/>
          <w:szCs w:val="21"/>
        </w:rPr>
        <w:t>回收料</w:t>
      </w:r>
      <w:r>
        <w:rPr>
          <w:rFonts w:hint="eastAsia" w:ascii="黑体" w:hAnsi="黑体" w:eastAsia="黑体"/>
        </w:rPr>
        <w:t xml:space="preserve"> </w:t>
      </w:r>
      <w:r>
        <w:rPr>
          <w:rFonts w:ascii="黑体" w:hAnsi="黑体" w:eastAsia="黑体"/>
        </w:rPr>
        <w:t xml:space="preserve"> </w:t>
      </w:r>
      <w:r>
        <w:rPr>
          <w:rFonts w:hint="eastAsia" w:ascii="黑体" w:hAnsi="黑体" w:eastAsia="黑体" w:cs="宋体"/>
          <w:color w:val="000000"/>
          <w:szCs w:val="21"/>
        </w:rPr>
        <w:t>recycling and treatment</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cs="Arial"/>
          <w:szCs w:val="21"/>
        </w:rPr>
        <w:t>可回收的贵金属饰品、贵金属饰品零配件、贵金属饰品生产加工过程的贵金属边角料或碎屑、生产工序中产生的贵金属粉末和粉尘、工厂废液中含有的贵金属、及其他贵金属等</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szCs w:val="21"/>
        </w:rPr>
        <w:t>[来源：QB/T 5234-2018</w:t>
      </w:r>
      <w:r>
        <w:rPr>
          <w:rFonts w:hint="eastAsia"/>
          <w:szCs w:val="21"/>
          <w:lang w:eastAsia="zh-CN"/>
        </w:rPr>
        <w:t>，</w:t>
      </w:r>
      <w:r>
        <w:rPr>
          <w:rFonts w:hint="eastAsia"/>
          <w:szCs w:val="21"/>
        </w:rPr>
        <w:t>定义3.2]</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3.9</w:t>
      </w:r>
    </w:p>
    <w:p>
      <w:pPr>
        <w:pStyle w:val="24"/>
        <w:rPr>
          <w:rFonts w:ascii="黑体" w:hAnsi="黑体" w:eastAsia="黑体"/>
        </w:rPr>
      </w:pPr>
      <w:r>
        <w:rPr>
          <w:rFonts w:hint="eastAsia" w:ascii="黑体" w:hAnsi="黑体" w:eastAsia="黑体" w:cs="黑体"/>
          <w:color w:val="000000"/>
          <w:szCs w:val="22"/>
        </w:rPr>
        <w:t>回收处理</w:t>
      </w:r>
      <w:r>
        <w:rPr>
          <w:rFonts w:hint="eastAsia" w:ascii="黑体" w:hAnsi="黑体" w:eastAsia="黑体"/>
        </w:rPr>
        <w:t xml:space="preserve"> </w:t>
      </w:r>
      <w:r>
        <w:rPr>
          <w:rFonts w:ascii="黑体" w:hAnsi="黑体" w:eastAsia="黑体"/>
        </w:rPr>
        <w:t xml:space="preserve"> </w:t>
      </w:r>
      <w:r>
        <w:rPr>
          <w:rFonts w:hint="eastAsia" w:ascii="黑体" w:hAnsi="黑体" w:eastAsia="黑体" w:cs="黑体"/>
          <w:color w:val="000000"/>
          <w:szCs w:val="22"/>
        </w:rPr>
        <w:t>recycling and treatment</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cs="Arial"/>
          <w:szCs w:val="21"/>
        </w:rPr>
        <w:t>对回收料进行收集、处理，使之可再利用的过程</w:t>
      </w:r>
      <w:r>
        <w:rPr>
          <w:rFonts w:hint="eastAsia"/>
        </w:rPr>
        <w:t>。</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3.10</w:t>
      </w:r>
    </w:p>
    <w:p>
      <w:pPr>
        <w:pStyle w:val="24"/>
        <w:rPr>
          <w:rFonts w:ascii="黑体" w:hAnsi="黑体" w:eastAsia="黑体"/>
        </w:rPr>
      </w:pPr>
      <w:r>
        <w:rPr>
          <w:rFonts w:hint="eastAsia" w:ascii="黑体" w:hAnsi="黑体" w:eastAsia="黑体"/>
        </w:rPr>
        <w:t xml:space="preserve">智能制造 </w:t>
      </w:r>
      <w:r>
        <w:rPr>
          <w:rFonts w:ascii="黑体" w:hAnsi="黑体" w:eastAsia="黑体"/>
        </w:rPr>
        <w:t xml:space="preserve"> </w:t>
      </w:r>
      <w:r>
        <w:rPr>
          <w:rFonts w:hint="eastAsia" w:ascii="黑体" w:hAnsi="黑体" w:eastAsia="黑体"/>
        </w:rPr>
        <w:t>intelligent manufacturing</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由人和智能机器共同推进制造过程的制造模式。</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rPr>
      </w:pPr>
      <w:r>
        <w:rPr>
          <w:rFonts w:hint="eastAsia"/>
          <w:szCs w:val="21"/>
        </w:rPr>
        <w:t>[来源：GB/Z 38623-2020，定义3.1]</w:t>
      </w:r>
    </w:p>
    <w:p>
      <w:pPr>
        <w:pStyle w:val="66"/>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3.11</w:t>
      </w:r>
    </w:p>
    <w:p>
      <w:pPr>
        <w:pStyle w:val="24"/>
        <w:rPr>
          <w:rFonts w:ascii="黑体" w:hAnsi="黑体" w:eastAsia="黑体"/>
        </w:rPr>
      </w:pPr>
      <w:r>
        <w:rPr>
          <w:rFonts w:hint="eastAsia" w:ascii="黑体" w:hAnsi="黑体" w:eastAsia="黑体"/>
        </w:rPr>
        <w:t>智能</w:t>
      </w:r>
      <w:r>
        <w:rPr>
          <w:rFonts w:hint="eastAsia" w:ascii="黑体" w:hAnsi="黑体" w:eastAsia="黑体"/>
          <w:lang w:val="en-US" w:eastAsia="zh-CN"/>
        </w:rPr>
        <w:t>机器</w:t>
      </w:r>
      <w:r>
        <w:rPr>
          <w:rFonts w:hint="eastAsia" w:ascii="黑体" w:hAnsi="黑体" w:eastAsia="黑体"/>
        </w:rPr>
        <w:t xml:space="preserve"> </w:t>
      </w:r>
      <w:r>
        <w:rPr>
          <w:rFonts w:ascii="黑体" w:hAnsi="黑体" w:eastAsia="黑体"/>
        </w:rPr>
        <w:t xml:space="preserve"> </w:t>
      </w:r>
      <w:r>
        <w:rPr>
          <w:rFonts w:hint="eastAsia" w:ascii="黑体" w:hAnsi="黑体" w:eastAsia="黑体"/>
        </w:rPr>
        <w:t>intelligent machinery</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rPr>
      </w:pPr>
      <w:r>
        <w:rPr>
          <w:rFonts w:hint="eastAsia"/>
          <w:lang w:val="en-US" w:eastAsia="zh-CN"/>
        </w:rPr>
        <w:t>基于先进制造技术与新一代信息技术的集成和深度融合，具有自感知、自决策、自执行、自适应、自学习等功能的制造装备</w:t>
      </w:r>
      <w:r>
        <w:rPr>
          <w:rFonts w:hint="eastAsia"/>
        </w:rPr>
        <w:t>。</w:t>
      </w:r>
    </w:p>
    <w:p>
      <w:pPr>
        <w:pStyle w:val="49"/>
        <w:rPr>
          <w:rFonts w:hint="eastAsia"/>
        </w:rPr>
      </w:pPr>
      <w:bookmarkStart w:id="8" w:name="_Toc512129319"/>
      <w:r>
        <w:rPr>
          <w:rFonts w:hint="eastAsia" w:ascii="黑体" w:hAnsi="宋体" w:eastAsia="黑体" w:cs="宋体"/>
          <w:color w:val="000000"/>
          <w:szCs w:val="21"/>
        </w:rPr>
        <w:t>评价指标体系</w:t>
      </w:r>
      <w:bookmarkEnd w:id="8"/>
    </w:p>
    <w:p>
      <w:pPr>
        <w:pStyle w:val="66"/>
        <w:rPr>
          <w:rFonts w:hint="eastAsia"/>
        </w:rPr>
      </w:pPr>
      <w:r>
        <w:rPr>
          <w:rFonts w:hint="eastAsia" w:ascii="黑体" w:hAnsi="黑体" w:eastAsia="黑体" w:cs="黑体"/>
        </w:rPr>
        <w:t>评价体系结构</w:t>
      </w:r>
    </w:p>
    <w:p>
      <w:pPr>
        <w:pStyle w:val="24"/>
        <w:keepNext w:val="0"/>
        <w:keepLines w:val="0"/>
        <w:pageBreakBefore w:val="0"/>
        <w:widowControl/>
        <w:kinsoku/>
        <w:wordWrap/>
        <w:overflowPunct/>
        <w:topLinePunct w:val="0"/>
        <w:autoSpaceDE w:val="0"/>
        <w:autoSpaceDN w:val="0"/>
        <w:bidi w:val="0"/>
        <w:adjustRightInd/>
        <w:snapToGrid/>
        <w:spacing w:before="156" w:beforeLines="50" w:after="156" w:afterLines="50"/>
        <w:textAlignment w:val="auto"/>
        <w:rPr>
          <w:rFonts w:hint="eastAsia" w:hAnsi="宋体"/>
          <w:color w:val="auto"/>
        </w:rPr>
      </w:pPr>
      <w:r>
        <w:rPr>
          <w:rFonts w:hint="eastAsia" w:ascii="宋体" w:hAnsi="宋体" w:eastAsia="宋体"/>
        </w:rPr>
        <w:t>贵金属饰品行业清洁生产评价指标体系</w:t>
      </w:r>
      <w:bookmarkStart w:id="19" w:name="_GoBack"/>
      <w:bookmarkEnd w:id="19"/>
      <w:r>
        <w:rPr>
          <w:rFonts w:hint="eastAsia" w:ascii="宋体" w:hAnsi="宋体" w:eastAsia="宋体"/>
        </w:rPr>
        <w:t>由评价领域和评价的项目内容构成，评价领域作为一级评价指标，评价项目作为二级评价指标</w:t>
      </w:r>
      <w:r>
        <w:rPr>
          <w:rFonts w:hint="eastAsia" w:hAnsi="宋体"/>
          <w:color w:val="auto"/>
        </w:rPr>
        <w:t>。</w:t>
      </w:r>
    </w:p>
    <w:p>
      <w:pPr>
        <w:pStyle w:val="24"/>
        <w:keepNext w:val="0"/>
        <w:keepLines w:val="0"/>
        <w:pageBreakBefore w:val="0"/>
        <w:widowControl/>
        <w:kinsoku/>
        <w:wordWrap/>
        <w:overflowPunct/>
        <w:topLinePunct w:val="0"/>
        <w:autoSpaceDE w:val="0"/>
        <w:autoSpaceDN w:val="0"/>
        <w:bidi w:val="0"/>
        <w:adjustRightInd/>
        <w:snapToGrid/>
        <w:spacing w:before="156" w:beforeLines="50" w:after="156" w:afterLines="50"/>
        <w:textAlignment w:val="auto"/>
        <w:rPr>
          <w:rFonts w:hint="eastAsia" w:hAnsi="宋体" w:eastAsia="宋体"/>
          <w:color w:val="auto"/>
          <w:lang w:val="en-US" w:eastAsia="zh-CN"/>
        </w:rPr>
      </w:pPr>
      <w:r>
        <w:rPr>
          <w:rFonts w:hint="eastAsia" w:hAnsi="宋体"/>
        </w:rPr>
        <w:t>一级评价指标包括生产工艺及装备（生产技术特征）、产品特征、资源和能源消耗、资源综合利用、污染物产生和排放、环境管理与劳动安全卫生（清洁生产管理）等六项指标。二级评价指标是根据产品生产特点由相应的具体评价项目所构成</w:t>
      </w:r>
      <w:r>
        <w:rPr>
          <w:rFonts w:hint="eastAsia" w:hAnsi="宋体"/>
          <w:lang w:eastAsia="zh-CN"/>
        </w:rPr>
        <w:t>。</w:t>
      </w:r>
    </w:p>
    <w:p>
      <w:pPr>
        <w:pStyle w:val="49"/>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ascii="Times New Roman"/>
        </w:rPr>
      </w:pPr>
      <w:r>
        <w:rPr>
          <w:rFonts w:hint="eastAsia"/>
          <w:color w:val="auto"/>
          <w:lang w:val="en-US" w:eastAsia="zh-CN"/>
        </w:rPr>
        <w:t xml:space="preserve">4.2  </w:t>
      </w:r>
      <w:r>
        <w:rPr>
          <w:rFonts w:hint="eastAsia" w:ascii="黑体" w:hAnsi="黑体" w:eastAsia="黑体" w:cs="黑体"/>
        </w:rPr>
        <w:t>指标选取说明</w:t>
      </w:r>
    </w:p>
    <w:p>
      <w:pPr>
        <w:pStyle w:val="49"/>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本评价指标体系根据清洁生产的原则要求和指标的可度量性，进行指标选取。根据评价指标的性质，可分为定量指标和定性指标两种。</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textAlignment w:val="auto"/>
        <w:rPr>
          <w:rFonts w:hint="eastAsia"/>
          <w:lang w:val="en-US" w:eastAsia="zh-CN"/>
        </w:rPr>
      </w:pPr>
      <w:r>
        <w:rPr>
          <w:rFonts w:hint="eastAsia"/>
          <w:lang w:val="en-US" w:eastAsia="zh-CN"/>
        </w:rPr>
        <w:t>定量指标选取了有代表性的、能反映“节能”、“减污”和“增效”等有关清洁生产最终目标的指标，综合考评企业实施清洁生产的状况和企业清洁生产程度。定性指标根据国家有关推行清洁生产的产业发展和技术进步政策、资源环境保护政策规定以及行业发展规划选取，用于考核企业对有关政策法规的符合性及其清洁生产工作实施情况。</w:t>
      </w:r>
    </w:p>
    <w:p>
      <w:pPr>
        <w:pStyle w:val="66"/>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default" w:hAnsi="宋体"/>
          <w:color w:val="FF0000"/>
          <w:lang w:val="en-US"/>
        </w:rPr>
      </w:pPr>
      <w:r>
        <w:rPr>
          <w:rFonts w:hint="eastAsia"/>
          <w:color w:val="auto"/>
          <w:lang w:val="en-US" w:eastAsia="zh-CN"/>
        </w:rPr>
        <w:t xml:space="preserve">4.3  </w:t>
      </w:r>
      <w:r>
        <w:rPr>
          <w:rFonts w:hint="eastAsia" w:ascii="黑体" w:hAnsi="黑体" w:eastAsia="黑体" w:cs="黑体"/>
        </w:rPr>
        <w:t>指标基准值及说明</w:t>
      </w:r>
    </w:p>
    <w:p>
      <w:pPr>
        <w:pStyle w:val="24"/>
        <w:spacing w:before="156" w:beforeLines="50" w:after="156" w:afterLines="50"/>
        <w:ind w:left="0" w:leftChars="0" w:firstLine="0" w:firstLineChars="0"/>
        <w:rPr>
          <w:rFonts w:hint="eastAsia"/>
        </w:rPr>
      </w:pPr>
      <w:r>
        <w:rPr>
          <w:rFonts w:hint="eastAsia" w:ascii="黑体" w:hAnsi="黑体" w:eastAsia="黑体" w:cs="黑体"/>
          <w:lang w:val="en-US" w:eastAsia="zh-CN"/>
        </w:rPr>
        <w:t>4.3.1</w:t>
      </w:r>
      <w:r>
        <w:rPr>
          <w:rFonts w:hint="eastAsia" w:hAnsi="黑体" w:cs="黑体"/>
          <w:lang w:val="en-US" w:eastAsia="zh-CN"/>
        </w:rPr>
        <w:t xml:space="preserve">  各指标的评价基准值是衡量该项指标是否符合清洁生产基本要求的评价基准</w:t>
      </w:r>
      <w:r>
        <w:rPr>
          <w:rFonts w:hint="eastAsia"/>
        </w:rPr>
        <w:t>。</w:t>
      </w:r>
    </w:p>
    <w:p>
      <w:pPr>
        <w:pStyle w:val="24"/>
        <w:spacing w:before="156" w:beforeLines="50" w:after="156" w:afterLines="50"/>
        <w:ind w:left="0" w:leftChars="0" w:firstLine="0" w:firstLineChars="0"/>
        <w:rPr>
          <w:rFonts w:hint="eastAsia"/>
        </w:rPr>
      </w:pPr>
      <w:r>
        <w:rPr>
          <w:rFonts w:hint="eastAsia" w:ascii="黑体" w:hAnsi="黑体" w:eastAsia="黑体" w:cs="黑体"/>
          <w:lang w:val="en-US" w:eastAsia="zh-CN"/>
        </w:rPr>
        <w:t>4.3.2</w:t>
      </w:r>
      <w:r>
        <w:rPr>
          <w:rFonts w:hint="eastAsia" w:hAnsi="黑体" w:cs="黑体"/>
          <w:lang w:val="en-US" w:eastAsia="zh-CN"/>
        </w:rPr>
        <w:t xml:space="preserve">  </w:t>
      </w:r>
      <w:r>
        <w:rPr>
          <w:rFonts w:hint="eastAsia" w:hAnsi="宋体" w:cs="宋体"/>
          <w:szCs w:val="21"/>
        </w:rPr>
        <w:t>在定量评价指标中，各指标的评价基准值是衡量该项指标是否符合清洁生产基本要求的评价基准。本指标体系确定各定量评价指标的评价基准值的依据是：凡国家或行业在有关政策、规划等文件中对该项指标已有明确要求的执行国家要求的数值；凡国家或行业对该项指标尚无明确要求的，则选用国内大中型行业企业近年来清洁生产所实际达到的中上等以上水平的指标值</w:t>
      </w:r>
      <w:r>
        <w:rPr>
          <w:rFonts w:hint="eastAsia"/>
        </w:rPr>
        <w:t>。</w:t>
      </w:r>
    </w:p>
    <w:p>
      <w:pPr>
        <w:pStyle w:val="24"/>
        <w:spacing w:before="156" w:beforeLines="50" w:after="156" w:afterLines="50"/>
        <w:ind w:left="0" w:leftChars="0" w:firstLine="0" w:firstLineChars="0"/>
        <w:rPr>
          <w:rFonts w:hint="eastAsia"/>
        </w:rPr>
      </w:pPr>
      <w:r>
        <w:rPr>
          <w:rFonts w:hint="eastAsia" w:ascii="黑体" w:hAnsi="黑体" w:eastAsia="黑体" w:cs="黑体"/>
          <w:lang w:val="en-US" w:eastAsia="zh-CN"/>
        </w:rPr>
        <w:t>4.3.3</w:t>
      </w:r>
      <w:r>
        <w:rPr>
          <w:rFonts w:hint="eastAsia" w:hAnsi="黑体" w:cs="黑体"/>
          <w:lang w:val="en-US" w:eastAsia="zh-CN"/>
        </w:rPr>
        <w:t xml:space="preserve">  </w:t>
      </w:r>
      <w:r>
        <w:rPr>
          <w:rFonts w:hint="eastAsia" w:hAnsi="宋体" w:cs="宋体"/>
          <w:szCs w:val="21"/>
        </w:rPr>
        <w:t>在定性评价指标中，衡量该项指标是否贯彻执行国家有关政策、法规的情况，按</w:t>
      </w:r>
      <w:r>
        <w:rPr>
          <w:rFonts w:hAnsi="宋体"/>
          <w:szCs w:val="21"/>
        </w:rPr>
        <w:t>“</w:t>
      </w:r>
      <w:r>
        <w:rPr>
          <w:rFonts w:hint="eastAsia" w:hAnsi="宋体" w:cs="宋体"/>
          <w:szCs w:val="21"/>
        </w:rPr>
        <w:t>是</w:t>
      </w:r>
      <w:r>
        <w:rPr>
          <w:rFonts w:hAnsi="宋体"/>
          <w:szCs w:val="21"/>
        </w:rPr>
        <w:t>”</w:t>
      </w:r>
      <w:r>
        <w:rPr>
          <w:rFonts w:hint="eastAsia" w:hAnsi="宋体" w:cs="宋体"/>
          <w:szCs w:val="21"/>
        </w:rPr>
        <w:t>或</w:t>
      </w:r>
      <w:r>
        <w:rPr>
          <w:rFonts w:hAnsi="宋体"/>
          <w:szCs w:val="21"/>
        </w:rPr>
        <w:t>“</w:t>
      </w:r>
      <w:r>
        <w:rPr>
          <w:rFonts w:hint="eastAsia" w:hAnsi="宋体" w:cs="宋体"/>
          <w:szCs w:val="21"/>
        </w:rPr>
        <w:t>否</w:t>
      </w:r>
      <w:r>
        <w:rPr>
          <w:rFonts w:hAnsi="宋体"/>
          <w:szCs w:val="21"/>
        </w:rPr>
        <w:t>”</w:t>
      </w:r>
      <w:r>
        <w:rPr>
          <w:rFonts w:hint="eastAsia" w:hAnsi="宋体" w:cs="宋体"/>
          <w:szCs w:val="21"/>
        </w:rPr>
        <w:t>两种选择来评定</w:t>
      </w:r>
      <w:r>
        <w:rPr>
          <w:rFonts w:hint="eastAsia"/>
        </w:rPr>
        <w:t>。</w:t>
      </w:r>
    </w:p>
    <w:p>
      <w:pPr>
        <w:pStyle w:val="66"/>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default" w:hAnsi="宋体"/>
          <w:color w:val="FF0000"/>
          <w:lang w:val="en-US"/>
        </w:rPr>
      </w:pPr>
      <w:r>
        <w:rPr>
          <w:rFonts w:hint="eastAsia"/>
          <w:color w:val="auto"/>
          <w:lang w:val="en-US" w:eastAsia="zh-CN"/>
        </w:rPr>
        <w:t xml:space="preserve">4.4  </w:t>
      </w:r>
      <w:r>
        <w:rPr>
          <w:rFonts w:hint="eastAsia" w:ascii="黑体" w:eastAsia="黑体"/>
          <w:kern w:val="0"/>
          <w:szCs w:val="20"/>
        </w:rPr>
        <w:t>指标权重及确定方法</w:t>
      </w:r>
    </w:p>
    <w:p>
      <w:pPr>
        <w:pStyle w:val="66"/>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default" w:hAnsi="宋体"/>
          <w:color w:val="FF0000"/>
          <w:lang w:val="en-US"/>
        </w:rPr>
      </w:pPr>
      <w:r>
        <w:rPr>
          <w:rFonts w:hint="eastAsia"/>
          <w:color w:val="auto"/>
          <w:lang w:val="en-US" w:eastAsia="zh-CN"/>
        </w:rPr>
        <w:t xml:space="preserve">4.4.1  </w:t>
      </w:r>
      <w:r>
        <w:rPr>
          <w:rFonts w:hint="eastAsia" w:ascii="黑体" w:hAnsi="黑体" w:eastAsia="黑体" w:cs="宋体"/>
          <w:szCs w:val="21"/>
        </w:rPr>
        <w:t>权重</w:t>
      </w:r>
    </w:p>
    <w:p>
      <w:pPr>
        <w:pStyle w:val="24"/>
        <w:spacing w:before="156" w:beforeLines="50" w:after="156" w:afterLines="50"/>
        <w:ind w:left="0" w:leftChars="0" w:firstLine="420" w:firstLineChars="200"/>
        <w:rPr>
          <w:rFonts w:hint="eastAsia"/>
        </w:rPr>
      </w:pPr>
      <w:r>
        <w:rPr>
          <w:rFonts w:hint="eastAsia"/>
        </w:rPr>
        <w:t>一级指标的权重之和应为1，每个一级指标下的二级指标权重之和也应为1。</w:t>
      </w:r>
    </w:p>
    <w:p>
      <w:pPr>
        <w:pStyle w:val="66"/>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default" w:hAnsi="宋体"/>
          <w:color w:val="FF0000"/>
          <w:lang w:val="en-US"/>
        </w:rPr>
      </w:pPr>
      <w:r>
        <w:rPr>
          <w:rFonts w:hint="eastAsia"/>
          <w:color w:val="auto"/>
          <w:lang w:val="en-US" w:eastAsia="zh-CN"/>
        </w:rPr>
        <w:t xml:space="preserve">4.4.2  </w:t>
      </w:r>
      <w:r>
        <w:rPr>
          <w:rFonts w:hint="eastAsia" w:ascii="黑体" w:hAnsi="黑体" w:eastAsia="黑体" w:cs="宋体"/>
          <w:szCs w:val="21"/>
        </w:rPr>
        <w:t>权重确定方法</w:t>
      </w:r>
    </w:p>
    <w:p>
      <w:pPr>
        <w:pStyle w:val="24"/>
        <w:spacing w:before="156" w:beforeLines="50" w:after="156" w:afterLines="50"/>
        <w:ind w:left="0" w:leftChars="0" w:firstLine="420" w:firstLineChars="200"/>
        <w:rPr>
          <w:rFonts w:hint="eastAsia"/>
        </w:rPr>
      </w:pPr>
      <w:r>
        <w:rPr>
          <w:rFonts w:hint="eastAsia" w:hAnsi="宋体"/>
        </w:rPr>
        <w:t>采用行业专家咨询法，</w:t>
      </w:r>
      <w:r>
        <w:rPr>
          <w:rFonts w:hint="eastAsia" w:cs="宋体"/>
          <w:szCs w:val="21"/>
        </w:rPr>
        <w:t>就各评价指标的权重，分发调查表向专家函询意见，由组织者汇总整理，作为参考意见再次分发给每位专家，供他们分析判断并提出新的意见，反复多次，使意见趋于一致，最后得出结论</w:t>
      </w:r>
      <w:r>
        <w:rPr>
          <w:rFonts w:hint="eastAsia"/>
        </w:rPr>
        <w:t>。</w:t>
      </w:r>
    </w:p>
    <w:p>
      <w:pPr>
        <w:pStyle w:val="66"/>
        <w:keepNext w:val="0"/>
        <w:keepLines w:val="0"/>
        <w:pageBreakBefore w:val="0"/>
        <w:widowControl/>
        <w:numPr>
          <w:ilvl w:val="1"/>
          <w:numId w:val="0"/>
        </w:numPr>
        <w:kinsoku/>
        <w:wordWrap/>
        <w:overflowPunct/>
        <w:topLinePunct w:val="0"/>
        <w:autoSpaceDE/>
        <w:autoSpaceDN/>
        <w:bidi w:val="0"/>
        <w:adjustRightInd/>
        <w:snapToGrid/>
        <w:ind w:leftChars="0"/>
        <w:textAlignment w:val="auto"/>
        <w:rPr>
          <w:rFonts w:hint="default" w:hAnsi="宋体"/>
          <w:color w:val="FF0000"/>
          <w:lang w:val="en-US"/>
        </w:rPr>
      </w:pPr>
      <w:r>
        <w:rPr>
          <w:rFonts w:hint="eastAsia"/>
          <w:color w:val="auto"/>
          <w:lang w:val="en-US" w:eastAsia="zh-CN"/>
        </w:rPr>
        <w:t xml:space="preserve">4.5  </w:t>
      </w:r>
      <w:r>
        <w:rPr>
          <w:rFonts w:hint="eastAsia" w:ascii="黑体" w:eastAsia="黑体"/>
        </w:rPr>
        <w:t>指标体系</w:t>
      </w:r>
    </w:p>
    <w:p>
      <w:pPr>
        <w:pStyle w:val="24"/>
        <w:spacing w:before="156" w:beforeLines="50" w:after="156" w:afterLines="50"/>
        <w:rPr>
          <w:rFonts w:hint="eastAsia" w:hAnsi="宋体"/>
          <w:color w:val="auto"/>
        </w:rPr>
      </w:pPr>
      <w:r>
        <w:rPr>
          <w:rFonts w:hint="eastAsia" w:hAnsi="宋体"/>
          <w:color w:val="auto"/>
        </w:rPr>
        <w:t>贵金属饰品行业清洁生产评价指标体系见表1和表2。</w:t>
      </w: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pPr>
    </w:p>
    <w:p>
      <w:pPr>
        <w:pStyle w:val="24"/>
        <w:spacing w:before="156" w:beforeLines="50" w:after="156" w:afterLines="50"/>
        <w:rPr>
          <w:rFonts w:hint="eastAsia" w:hAnsi="宋体"/>
          <w:color w:val="auto"/>
        </w:rPr>
        <w:sectPr>
          <w:footerReference r:id="rId9" w:type="default"/>
          <w:footerReference r:id="rId10" w:type="even"/>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pPr>
    </w:p>
    <w:p>
      <w:pPr>
        <w:pStyle w:val="24"/>
        <w:spacing w:before="156" w:beforeLines="50" w:after="156" w:afterLines="50"/>
        <w:jc w:val="center"/>
        <w:rPr>
          <w:rFonts w:hint="eastAsia" w:ascii="黑体" w:hAnsi="黑体" w:eastAsia="黑体"/>
        </w:rPr>
      </w:pPr>
      <w:r>
        <w:rPr>
          <w:rFonts w:hint="eastAsia" w:ascii="黑体" w:hAnsi="黑体" w:eastAsia="黑体"/>
        </w:rPr>
        <w:t xml:space="preserve">表1 </w:t>
      </w:r>
      <w:r>
        <w:rPr>
          <w:rFonts w:hint="eastAsia" w:ascii="黑体" w:hAnsi="黑体" w:eastAsia="黑体"/>
          <w:lang w:val="en-US" w:eastAsia="zh-CN"/>
        </w:rPr>
        <w:t xml:space="preserve"> </w:t>
      </w:r>
      <w:r>
        <w:rPr>
          <w:rFonts w:hint="eastAsia" w:ascii="黑体" w:hAnsi="黑体" w:eastAsia="黑体"/>
        </w:rPr>
        <w:t>贵金属饰品行业清洁生产评价指标体系</w:t>
      </w:r>
    </w:p>
    <w:tbl>
      <w:tblPr>
        <w:tblStyle w:val="33"/>
        <w:tblW w:w="5013" w:type="pct"/>
        <w:tblInd w:w="-2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789"/>
        <w:gridCol w:w="805"/>
        <w:gridCol w:w="1081"/>
        <w:gridCol w:w="1415"/>
        <w:gridCol w:w="749"/>
        <w:gridCol w:w="910"/>
        <w:gridCol w:w="3137"/>
        <w:gridCol w:w="3"/>
        <w:gridCol w:w="3121"/>
        <w:gridCol w:w="2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166" w:type="pct"/>
            <w:tcBorders>
              <w:top w:val="single" w:color="000000" w:sz="12"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256"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一级指标</w:t>
            </w:r>
          </w:p>
        </w:tc>
        <w:tc>
          <w:tcPr>
            <w:tcW w:w="261"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一级指标权重</w:t>
            </w:r>
          </w:p>
        </w:tc>
        <w:tc>
          <w:tcPr>
            <w:tcW w:w="811" w:type="pct"/>
            <w:gridSpan w:val="2"/>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二级指标</w:t>
            </w:r>
          </w:p>
        </w:tc>
        <w:tc>
          <w:tcPr>
            <w:tcW w:w="243"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指标单位</w:t>
            </w:r>
          </w:p>
        </w:tc>
        <w:tc>
          <w:tcPr>
            <w:tcW w:w="295"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二级指标权重</w:t>
            </w:r>
          </w:p>
        </w:tc>
        <w:tc>
          <w:tcPr>
            <w:tcW w:w="1018"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Ⅰ级基准值</w:t>
            </w:r>
          </w:p>
        </w:tc>
        <w:tc>
          <w:tcPr>
            <w:tcW w:w="1014" w:type="pct"/>
            <w:gridSpan w:val="2"/>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Ⅱ级基准值</w:t>
            </w:r>
          </w:p>
        </w:tc>
        <w:tc>
          <w:tcPr>
            <w:tcW w:w="931" w:type="pct"/>
            <w:tcBorders>
              <w:top w:val="single" w:color="000000" w:sz="12"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Ⅲ级基准值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sz w:val="18"/>
                <w:szCs w:val="18"/>
              </w:rPr>
            </w:pPr>
            <w:r>
              <w:rPr>
                <w:rFonts w:hint="eastAsia"/>
                <w:sz w:val="18"/>
                <w:szCs w:val="18"/>
              </w:rPr>
              <w:t>1</w:t>
            </w:r>
          </w:p>
        </w:tc>
        <w:tc>
          <w:tcPr>
            <w:tcW w:w="256"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生产工艺及装备指标</w:t>
            </w:r>
          </w:p>
        </w:tc>
        <w:tc>
          <w:tcPr>
            <w:tcW w:w="26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w:t>
            </w:r>
            <w:r>
              <w:rPr>
                <w:rFonts w:hint="default"/>
                <w:sz w:val="18"/>
                <w:szCs w:val="18"/>
              </w:rPr>
              <w:t>2</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安全生产</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0.10</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sz w:val="18"/>
                <w:szCs w:val="18"/>
              </w:rPr>
            </w:pPr>
            <w:r>
              <w:rPr>
                <w:rFonts w:hint="eastAsia" w:hAnsi="宋体" w:cs="Arial"/>
                <w:sz w:val="18"/>
                <w:szCs w:val="18"/>
                <w:shd w:val="clear" w:color="auto" w:fill="FFFFFF"/>
              </w:rPr>
              <w:t>执行SZJG 39的规定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1"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2</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环保设施</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line="280" w:lineRule="exact"/>
              <w:ind w:left="0" w:right="0" w:firstLine="0" w:firstLineChars="0"/>
              <w:jc w:val="center"/>
              <w:rPr>
                <w:rFonts w:hint="eastAsia"/>
                <w:sz w:val="18"/>
                <w:szCs w:val="18"/>
                <w:highlight w:val="none"/>
              </w:rPr>
            </w:pPr>
            <w:r>
              <w:rPr>
                <w:rFonts w:hint="eastAsia"/>
                <w:sz w:val="18"/>
                <w:szCs w:val="18"/>
                <w:highlight w:val="none"/>
              </w:rPr>
              <w:t>生产废水收集与处理</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0.10</w:t>
            </w:r>
          </w:p>
        </w:tc>
        <w:tc>
          <w:tcPr>
            <w:tcW w:w="10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159" w:beforeLines="50" w:beforeAutospacing="0" w:after="159" w:afterLines="50" w:afterAutospacing="0"/>
              <w:ind w:left="0" w:right="0"/>
              <w:jc w:val="left"/>
              <w:rPr>
                <w:rFonts w:hint="eastAsia" w:ascii="宋体" w:hAnsi="宋体"/>
                <w:kern w:val="0"/>
                <w:sz w:val="18"/>
                <w:szCs w:val="18"/>
              </w:rPr>
            </w:pPr>
            <w:r>
              <w:rPr>
                <w:rFonts w:hint="eastAsia" w:ascii="宋体" w:hAnsi="宋体"/>
                <w:kern w:val="0"/>
                <w:sz w:val="18"/>
                <w:szCs w:val="18"/>
              </w:rPr>
              <w:t>厂内</w:t>
            </w:r>
            <w:r>
              <w:rPr>
                <w:rFonts w:hint="default" w:ascii="宋体" w:hAnsi="宋体"/>
                <w:color w:val="000000"/>
                <w:kern w:val="0"/>
                <w:sz w:val="18"/>
                <w:szCs w:val="18"/>
              </w:rPr>
              <w:t>建有废水处理设施运行中控系统</w:t>
            </w:r>
            <w:r>
              <w:rPr>
                <w:rFonts w:hint="eastAsia" w:ascii="宋体" w:hAnsi="宋体"/>
                <w:color w:val="000000"/>
                <w:kern w:val="0"/>
                <w:sz w:val="18"/>
                <w:szCs w:val="18"/>
              </w:rPr>
              <w:t>，具备有效的</w:t>
            </w:r>
            <w:r>
              <w:rPr>
                <w:rFonts w:hint="eastAsia" w:ascii="宋体" w:hAnsi="宋体" w:cs="宋体"/>
                <w:color w:val="000000"/>
                <w:kern w:val="0"/>
                <w:sz w:val="18"/>
                <w:szCs w:val="18"/>
              </w:rPr>
              <w:t>生产</w:t>
            </w:r>
            <w:r>
              <w:rPr>
                <w:rFonts w:hint="eastAsia" w:ascii="宋体" w:hAnsi="宋体"/>
                <w:color w:val="000000"/>
                <w:kern w:val="0"/>
                <w:sz w:val="18"/>
                <w:szCs w:val="18"/>
              </w:rPr>
              <w:t>废水收集、处理及重复利用。</w:t>
            </w:r>
          </w:p>
        </w:tc>
        <w:tc>
          <w:tcPr>
            <w:tcW w:w="10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color w:val="000000"/>
                <w:kern w:val="0"/>
                <w:sz w:val="18"/>
                <w:szCs w:val="18"/>
              </w:rPr>
            </w:pPr>
            <w:r>
              <w:rPr>
                <w:rFonts w:hint="eastAsia" w:ascii="宋体" w:hAnsi="宋体"/>
                <w:color w:val="000000"/>
                <w:kern w:val="0"/>
                <w:sz w:val="18"/>
                <w:szCs w:val="18"/>
              </w:rPr>
              <w:t>厂内</w:t>
            </w:r>
            <w:r>
              <w:rPr>
                <w:rFonts w:hint="default" w:ascii="宋体" w:hAnsi="宋体"/>
                <w:color w:val="000000"/>
                <w:kern w:val="0"/>
                <w:sz w:val="18"/>
                <w:szCs w:val="18"/>
              </w:rPr>
              <w:t>建有废水处理设施运行中控系统</w:t>
            </w:r>
            <w:r>
              <w:rPr>
                <w:rFonts w:hint="eastAsia" w:ascii="宋体" w:hAnsi="宋体"/>
                <w:color w:val="000000"/>
                <w:kern w:val="0"/>
                <w:sz w:val="18"/>
                <w:szCs w:val="18"/>
              </w:rPr>
              <w:t>，具备有效的</w:t>
            </w:r>
            <w:r>
              <w:rPr>
                <w:rFonts w:hint="eastAsia" w:ascii="宋体" w:hAnsi="宋体" w:cs="宋体"/>
                <w:color w:val="000000"/>
                <w:kern w:val="0"/>
                <w:sz w:val="18"/>
                <w:szCs w:val="18"/>
              </w:rPr>
              <w:t>生产</w:t>
            </w:r>
            <w:r>
              <w:rPr>
                <w:rFonts w:hint="eastAsia" w:ascii="宋体" w:hAnsi="宋体"/>
                <w:color w:val="000000"/>
                <w:kern w:val="0"/>
                <w:sz w:val="18"/>
                <w:szCs w:val="18"/>
              </w:rPr>
              <w:t>废水收集、处理，能达标排放。</w:t>
            </w:r>
            <w:r>
              <w:rPr>
                <w:rFonts w:hint="default" w:ascii="宋体" w:hAnsi="宋体"/>
                <w:kern w:val="0"/>
                <w:sz w:val="18"/>
                <w:szCs w:val="18"/>
              </w:rPr>
              <w:t xml:space="preserve"> </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0" w:beforeAutospacing="0" w:after="0" w:afterAutospacing="0"/>
              <w:ind w:left="0" w:right="0"/>
              <w:jc w:val="left"/>
              <w:rPr>
                <w:rFonts w:hint="eastAsia" w:ascii="宋体" w:hAnsi="宋体"/>
                <w:kern w:val="0"/>
                <w:sz w:val="18"/>
                <w:szCs w:val="18"/>
              </w:rPr>
            </w:pPr>
            <w:r>
              <w:rPr>
                <w:rFonts w:hint="eastAsia" w:ascii="宋体" w:hAnsi="宋体"/>
                <w:color w:val="000000"/>
                <w:kern w:val="0"/>
                <w:sz w:val="18"/>
                <w:szCs w:val="18"/>
              </w:rPr>
              <w:t>具备有效的生产废水收集和预处理系统设施，由工业园区统一回收处理。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3</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highlight w:val="none"/>
              </w:rPr>
            </w:pPr>
            <w:r>
              <w:rPr>
                <w:rFonts w:hint="eastAsia"/>
                <w:sz w:val="18"/>
                <w:szCs w:val="18"/>
                <w:highlight w:val="none"/>
              </w:rPr>
              <w:t>废气收集与处理</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0.10</w:t>
            </w:r>
          </w:p>
        </w:tc>
        <w:tc>
          <w:tcPr>
            <w:tcW w:w="2033"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rPr>
                <w:rFonts w:hint="eastAsia" w:hAnsi="宋体"/>
                <w:sz w:val="18"/>
                <w:szCs w:val="18"/>
              </w:rPr>
            </w:pPr>
            <w:r>
              <w:rPr>
                <w:rFonts w:hint="eastAsia" w:hAnsi="宋体" w:cs="宋体"/>
                <w:color w:val="000000"/>
                <w:sz w:val="18"/>
                <w:szCs w:val="18"/>
              </w:rPr>
              <w:t>厂内建有废气处理设施运行中控系统，具备及时有效的生产废气收集与净化处理设施</w:t>
            </w:r>
            <w:r>
              <w:rPr>
                <w:rFonts w:hint="eastAsia" w:hAnsi="宋体" w:cs="宋体"/>
                <w:b w:val="0"/>
                <w:bCs w:val="0"/>
                <w:color w:val="auto"/>
                <w:sz w:val="18"/>
                <w:szCs w:val="18"/>
              </w:rPr>
              <w:t>，废气达标排放。</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rPr>
                <w:rFonts w:hint="eastAsia" w:hAnsi="宋体"/>
                <w:sz w:val="18"/>
                <w:szCs w:val="18"/>
              </w:rPr>
            </w:pPr>
            <w:r>
              <w:rPr>
                <w:rFonts w:hint="eastAsia" w:hAnsi="宋体" w:cs="宋体"/>
                <w:color w:val="000000"/>
                <w:sz w:val="18"/>
                <w:szCs w:val="18"/>
              </w:rPr>
              <w:t>生产工序中产生的废气，</w:t>
            </w:r>
            <w:r>
              <w:rPr>
                <w:rFonts w:hint="default" w:hAnsi="宋体" w:cs="宋体"/>
                <w:color w:val="000000"/>
                <w:sz w:val="18"/>
                <w:szCs w:val="18"/>
              </w:rPr>
              <w:t>如</w:t>
            </w:r>
            <w:r>
              <w:rPr>
                <w:rFonts w:hint="eastAsia" w:hAnsi="宋体" w:cs="宋体"/>
                <w:color w:val="000000"/>
                <w:sz w:val="18"/>
                <w:szCs w:val="18"/>
              </w:rPr>
              <w:t>酸</w:t>
            </w:r>
            <w:r>
              <w:rPr>
                <w:rFonts w:hint="default" w:hAnsi="宋体" w:cs="宋体"/>
                <w:color w:val="000000"/>
                <w:sz w:val="18"/>
                <w:szCs w:val="18"/>
              </w:rPr>
              <w:t>雾</w:t>
            </w:r>
            <w:r>
              <w:rPr>
                <w:rFonts w:hint="eastAsia" w:hAnsi="宋体" w:cs="宋体"/>
                <w:color w:val="000000"/>
                <w:sz w:val="18"/>
                <w:szCs w:val="18"/>
              </w:rPr>
              <w:t>，具备及时有效的收集与处理设备。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4</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line="280" w:lineRule="exact"/>
              <w:ind w:left="0" w:right="0" w:firstLine="0" w:firstLineChars="0"/>
              <w:jc w:val="center"/>
              <w:rPr>
                <w:rFonts w:hint="default"/>
                <w:sz w:val="18"/>
                <w:szCs w:val="18"/>
                <w:highlight w:val="none"/>
              </w:rPr>
            </w:pPr>
            <w:r>
              <w:rPr>
                <w:rFonts w:hint="eastAsia"/>
                <w:sz w:val="18"/>
                <w:szCs w:val="18"/>
                <w:highlight w:val="none"/>
              </w:rPr>
              <w:t>固体废物</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0.10</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rPr>
                <w:rFonts w:hint="eastAsia" w:hAnsi="宋体"/>
                <w:sz w:val="18"/>
                <w:szCs w:val="18"/>
              </w:rPr>
            </w:pPr>
            <w:r>
              <w:rPr>
                <w:rFonts w:hint="eastAsia" w:hAnsi="宋体"/>
                <w:sz w:val="18"/>
                <w:szCs w:val="18"/>
              </w:rPr>
              <w:t>固体废弃物有配套的收集及储存设备，统一交由第三方有资质的专业公司进行回收处理。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5</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highlight w:val="none"/>
              </w:rPr>
            </w:pPr>
            <w:r>
              <w:rPr>
                <w:rFonts w:hint="eastAsia"/>
                <w:sz w:val="18"/>
                <w:szCs w:val="18"/>
                <w:highlight w:val="none"/>
              </w:rPr>
              <w:t>废液收集与处理</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0.10</w:t>
            </w:r>
          </w:p>
        </w:tc>
        <w:tc>
          <w:tcPr>
            <w:tcW w:w="1018" w:type="pct"/>
            <w:tcBorders>
              <w:top w:val="single" w:color="000000" w:sz="4" w:space="0"/>
              <w:left w:val="single" w:color="000000" w:sz="4" w:space="0"/>
              <w:bottom w:val="single" w:color="000000" w:sz="4" w:space="0"/>
              <w:right w:val="single" w:color="000000" w:sz="4" w:space="0"/>
            </w:tcBorders>
            <w:noWrap w:val="0"/>
            <w:vAlign w:val="top"/>
          </w:tcPr>
          <w:p>
            <w:pPr>
              <w:pStyle w:val="24"/>
              <w:keepNext w:val="0"/>
              <w:keepLines w:val="0"/>
              <w:widowControl/>
              <w:suppressLineNumbers w:val="0"/>
              <w:spacing w:before="159" w:beforeLines="50" w:beforeAutospacing="0" w:after="159" w:afterLines="50" w:afterAutospacing="0"/>
              <w:ind w:left="0" w:right="0" w:firstLine="0" w:firstLineChars="0"/>
              <w:rPr>
                <w:rFonts w:hint="eastAsia" w:hAnsi="宋体"/>
                <w:color w:val="000000"/>
                <w:sz w:val="18"/>
                <w:szCs w:val="18"/>
              </w:rPr>
            </w:pPr>
            <w:r>
              <w:rPr>
                <w:rFonts w:hint="eastAsia" w:hAnsi="宋体"/>
                <w:sz w:val="18"/>
                <w:szCs w:val="18"/>
              </w:rPr>
              <w:t>厂区配备有效的生产废液收集、储存与回收处理设施。</w:t>
            </w:r>
          </w:p>
        </w:tc>
        <w:tc>
          <w:tcPr>
            <w:tcW w:w="1946" w:type="pct"/>
            <w:gridSpan w:val="3"/>
            <w:tcBorders>
              <w:top w:val="single" w:color="000000" w:sz="4" w:space="0"/>
              <w:left w:val="single" w:color="000000" w:sz="4" w:space="0"/>
              <w:bottom w:val="single" w:color="000000" w:sz="4" w:space="0"/>
              <w:right w:val="single" w:color="000000" w:sz="12" w:space="0"/>
            </w:tcBorders>
            <w:noWrap w:val="0"/>
            <w:vAlign w:val="top"/>
          </w:tcPr>
          <w:p>
            <w:pPr>
              <w:pStyle w:val="24"/>
              <w:keepNext w:val="0"/>
              <w:keepLines w:val="0"/>
              <w:widowControl/>
              <w:suppressLineNumbers w:val="0"/>
              <w:spacing w:before="159" w:beforeLines="50" w:beforeAutospacing="0" w:after="159" w:afterLines="50" w:afterAutospacing="0"/>
              <w:ind w:left="0" w:right="0" w:firstLine="0" w:firstLineChars="0"/>
              <w:rPr>
                <w:rFonts w:hint="eastAsia" w:hAnsi="宋体"/>
                <w:color w:val="000000"/>
                <w:sz w:val="18"/>
                <w:szCs w:val="18"/>
              </w:rPr>
            </w:pPr>
            <w:r>
              <w:rPr>
                <w:rFonts w:hint="eastAsia" w:hAnsi="宋体"/>
                <w:sz w:val="18"/>
                <w:szCs w:val="18"/>
              </w:rPr>
              <w:t>生产工序中产生的废液配备收集、储存设备，交由第三方专业公司回收处理。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6</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生产工艺</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新材料</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0.05</w:t>
            </w:r>
          </w:p>
        </w:tc>
        <w:tc>
          <w:tcPr>
            <w:tcW w:w="2033"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hAnsi="宋体"/>
                <w:sz w:val="18"/>
                <w:szCs w:val="18"/>
              </w:rPr>
            </w:pPr>
            <w:r>
              <w:rPr>
                <w:rFonts w:hint="eastAsia" w:hAnsi="宋体"/>
                <w:sz w:val="18"/>
                <w:szCs w:val="18"/>
              </w:rPr>
              <w:t>开展新材料研发并已投入市场。</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left"/>
              <w:rPr>
                <w:rFonts w:hint="eastAsia" w:hAnsi="宋体"/>
                <w:sz w:val="18"/>
                <w:szCs w:val="18"/>
              </w:rPr>
            </w:pPr>
            <w:r>
              <w:rPr>
                <w:rFonts w:hint="eastAsia" w:hAnsi="宋体"/>
                <w:sz w:val="18"/>
                <w:szCs w:val="18"/>
              </w:rPr>
              <w:t>持续投入新材料研发，尚未进入市场应用。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7</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生产用环保辅料</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0.05</w:t>
            </w:r>
          </w:p>
        </w:tc>
        <w:tc>
          <w:tcPr>
            <w:tcW w:w="1018"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left"/>
              <w:rPr>
                <w:rFonts w:hint="default" w:hAnsi="宋体"/>
                <w:sz w:val="18"/>
                <w:szCs w:val="18"/>
              </w:rPr>
            </w:pPr>
            <w:r>
              <w:rPr>
                <w:rFonts w:hint="eastAsia" w:hAnsi="宋体"/>
                <w:sz w:val="18"/>
                <w:szCs w:val="18"/>
              </w:rPr>
              <w:t>生产用辅料完全使用无毒无害的环保辅料。</w:t>
            </w:r>
          </w:p>
        </w:tc>
        <w:tc>
          <w:tcPr>
            <w:tcW w:w="1014"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left"/>
              <w:rPr>
                <w:rFonts w:hint="default" w:hAnsi="宋体"/>
                <w:sz w:val="18"/>
                <w:szCs w:val="18"/>
              </w:rPr>
            </w:pPr>
            <w:r>
              <w:rPr>
                <w:rFonts w:hint="eastAsia" w:hAnsi="宋体"/>
                <w:sz w:val="18"/>
                <w:szCs w:val="18"/>
              </w:rPr>
              <w:t>70%以上生产辅料为环保辅料。</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left"/>
              <w:rPr>
                <w:rFonts w:hint="default" w:hAnsi="宋体"/>
                <w:sz w:val="18"/>
                <w:szCs w:val="18"/>
              </w:rPr>
            </w:pPr>
            <w:r>
              <w:rPr>
                <w:rFonts w:hint="eastAsia" w:hAnsi="宋体"/>
                <w:sz w:val="18"/>
                <w:szCs w:val="18"/>
              </w:rPr>
              <w:t>30%以上辅料为环保辅料。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rPr>
            </w:pPr>
            <w:r>
              <w:rPr>
                <w:rFonts w:hint="eastAsia"/>
                <w:sz w:val="18"/>
                <w:szCs w:val="18"/>
              </w:rPr>
              <w:t>8</w:t>
            </w:r>
          </w:p>
        </w:tc>
        <w:tc>
          <w:tcPr>
            <w:tcW w:w="256" w:type="pct"/>
            <w:vMerge w:val="continue"/>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无氰电铸</w:t>
            </w:r>
          </w:p>
        </w:tc>
        <w:tc>
          <w:tcPr>
            <w:tcW w:w="243"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0.10</w:t>
            </w:r>
          </w:p>
        </w:tc>
        <w:tc>
          <w:tcPr>
            <w:tcW w:w="1018"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left"/>
              <w:rPr>
                <w:rFonts w:hint="eastAsia" w:hAnsi="宋体"/>
                <w:sz w:val="18"/>
                <w:szCs w:val="18"/>
              </w:rPr>
            </w:pPr>
            <w:r>
              <w:rPr>
                <w:rFonts w:hint="eastAsia" w:hAnsi="宋体"/>
                <w:sz w:val="18"/>
                <w:szCs w:val="18"/>
              </w:rPr>
              <w:t>完全采用无氰电铸工艺，完全淘汰有毒有害工艺。</w:t>
            </w:r>
          </w:p>
        </w:tc>
        <w:tc>
          <w:tcPr>
            <w:tcW w:w="1014" w:type="pct"/>
            <w:gridSpan w:val="2"/>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left"/>
              <w:rPr>
                <w:rFonts w:hint="eastAsia" w:hAnsi="宋体"/>
                <w:sz w:val="18"/>
                <w:szCs w:val="18"/>
              </w:rPr>
            </w:pPr>
            <w:r>
              <w:rPr>
                <w:rFonts w:hint="eastAsia" w:hAnsi="宋体"/>
                <w:sz w:val="18"/>
                <w:szCs w:val="18"/>
              </w:rPr>
              <w:t>以无氰电铸工艺为主，有毒有害工艺淘汰80%以上。</w:t>
            </w:r>
          </w:p>
        </w:tc>
        <w:tc>
          <w:tcPr>
            <w:tcW w:w="931" w:type="pct"/>
            <w:tcBorders>
              <w:top w:val="single" w:color="000000" w:sz="4" w:space="0"/>
              <w:left w:val="single" w:color="000000" w:sz="4" w:space="0"/>
              <w:bottom w:val="single" w:color="000000" w:sz="12"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jc w:val="left"/>
              <w:rPr>
                <w:rFonts w:hint="eastAsia" w:hAnsi="宋体"/>
                <w:sz w:val="18"/>
                <w:szCs w:val="18"/>
              </w:rPr>
            </w:pPr>
            <w:r>
              <w:rPr>
                <w:rFonts w:hint="eastAsia" w:hAnsi="宋体" w:cs="宋体"/>
                <w:color w:val="000000"/>
                <w:sz w:val="18"/>
                <w:szCs w:val="18"/>
              </w:rPr>
              <w:t>使用低浓度、低毒生产工艺</w:t>
            </w:r>
            <w:r>
              <w:rPr>
                <w:rFonts w:hint="eastAsia" w:hAnsi="宋体"/>
                <w:sz w:val="18"/>
                <w:szCs w:val="18"/>
              </w:rPr>
              <w:t>。不使用国家和地方明令淘汰或禁止的落后工艺。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5000" w:type="pct"/>
            <w:gridSpan w:val="11"/>
            <w:tcBorders>
              <w:top w:val="single" w:color="000000" w:sz="12" w:space="0"/>
              <w:left w:val="single" w:color="000000" w:sz="12" w:space="0"/>
              <w:bottom w:val="single" w:color="000000" w:sz="12"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hAnsi="宋体" w:cs="宋体"/>
                <w:color w:val="000000"/>
                <w:sz w:val="18"/>
                <w:szCs w:val="18"/>
              </w:rPr>
            </w:pPr>
            <w:r>
              <w:rPr>
                <w:rFonts w:hint="eastAsia" w:ascii="黑体" w:hAnsi="黑体" w:eastAsia="黑体" w:cs="黑体"/>
                <w:sz w:val="21"/>
                <w:szCs w:val="21"/>
              </w:rPr>
              <w:t>表1</w:t>
            </w:r>
            <w:r>
              <w:rPr>
                <w:rFonts w:hint="eastAsia" w:ascii="宋体" w:hAnsi="宋体" w:eastAsia="宋体" w:cs="宋体"/>
                <w:sz w:val="21"/>
                <w:szCs w:val="21"/>
              </w:rPr>
              <w:t>（第2页/共3页）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12" w:space="0"/>
              <w:left w:val="single" w:color="000000" w:sz="12"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序号</w:t>
            </w:r>
          </w:p>
        </w:tc>
        <w:tc>
          <w:tcPr>
            <w:tcW w:w="256"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一级指标</w:t>
            </w:r>
          </w:p>
        </w:tc>
        <w:tc>
          <w:tcPr>
            <w:tcW w:w="261"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一级指标权重</w:t>
            </w:r>
          </w:p>
        </w:tc>
        <w:tc>
          <w:tcPr>
            <w:tcW w:w="811" w:type="pct"/>
            <w:gridSpan w:val="2"/>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二级指标</w:t>
            </w:r>
          </w:p>
        </w:tc>
        <w:tc>
          <w:tcPr>
            <w:tcW w:w="243"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指标单位</w:t>
            </w:r>
          </w:p>
        </w:tc>
        <w:tc>
          <w:tcPr>
            <w:tcW w:w="295"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二级指标权重</w:t>
            </w:r>
          </w:p>
        </w:tc>
        <w:tc>
          <w:tcPr>
            <w:tcW w:w="1018"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Ⅰ级基准值</w:t>
            </w:r>
          </w:p>
        </w:tc>
        <w:tc>
          <w:tcPr>
            <w:tcW w:w="1014" w:type="pct"/>
            <w:gridSpan w:val="2"/>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Ⅱ级基准值</w:t>
            </w:r>
          </w:p>
        </w:tc>
        <w:tc>
          <w:tcPr>
            <w:tcW w:w="931" w:type="pct"/>
            <w:tcBorders>
              <w:top w:val="single" w:color="000000" w:sz="12" w:space="0"/>
              <w:left w:val="single" w:color="000000" w:sz="4" w:space="0"/>
              <w:bottom w:val="single" w:color="000000" w:sz="12" w:space="0"/>
              <w:right w:val="single" w:color="000000" w:sz="12"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Ⅲ级基准值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12"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val="en-US" w:eastAsia="zh-CN"/>
              </w:rPr>
            </w:pPr>
            <w:r>
              <w:rPr>
                <w:rFonts w:hint="eastAsia"/>
                <w:sz w:val="18"/>
                <w:szCs w:val="18"/>
                <w:lang w:val="en-US" w:eastAsia="zh-CN"/>
              </w:rPr>
              <w:t>9</w:t>
            </w:r>
          </w:p>
        </w:tc>
        <w:tc>
          <w:tcPr>
            <w:tcW w:w="256" w:type="pct"/>
            <w:vMerge w:val="restar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restar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restar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生产装备</w:t>
            </w:r>
          </w:p>
        </w:tc>
        <w:tc>
          <w:tcPr>
            <w:tcW w:w="459"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自动化水平</w:t>
            </w:r>
          </w:p>
        </w:tc>
        <w:tc>
          <w:tcPr>
            <w:tcW w:w="243"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0.10</w:t>
            </w:r>
          </w:p>
        </w:tc>
        <w:tc>
          <w:tcPr>
            <w:tcW w:w="1018"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rPr>
                <w:rFonts w:hint="eastAsia" w:ascii="宋体" w:hAnsi="宋体" w:eastAsia="宋体" w:cs="Times New Roman"/>
                <w:sz w:val="18"/>
                <w:szCs w:val="18"/>
                <w:lang w:val="en-US" w:eastAsia="zh-CN" w:bidi="ar-SA"/>
              </w:rPr>
            </w:pPr>
            <w:r>
              <w:rPr>
                <w:rFonts w:hint="eastAsia" w:hAnsi="宋体" w:cs="宋体"/>
                <w:color w:val="000000"/>
                <w:sz w:val="18"/>
                <w:szCs w:val="18"/>
              </w:rPr>
              <w:t>工厂配备生产自动化管理系统，生产车间</w:t>
            </w:r>
            <w:r>
              <w:rPr>
                <w:rFonts w:hint="eastAsia" w:hAnsi="宋体"/>
                <w:sz w:val="18"/>
                <w:szCs w:val="18"/>
              </w:rPr>
              <w:t>采用自动化流水线作业，</w:t>
            </w:r>
            <w:r>
              <w:rPr>
                <w:rFonts w:hint="eastAsia" w:hAnsi="宋体" w:cs="宋体"/>
                <w:b w:val="0"/>
                <w:bCs/>
                <w:color w:val="auto"/>
                <w:sz w:val="18"/>
                <w:szCs w:val="18"/>
              </w:rPr>
              <w:t>大部分</w:t>
            </w:r>
            <w:r>
              <w:rPr>
                <w:rFonts w:hint="eastAsia" w:hAnsi="宋体" w:cs="宋体"/>
                <w:color w:val="000000"/>
                <w:sz w:val="18"/>
                <w:szCs w:val="18"/>
              </w:rPr>
              <w:t>工序实现系统自动化。</w:t>
            </w:r>
          </w:p>
        </w:tc>
        <w:tc>
          <w:tcPr>
            <w:tcW w:w="1014" w:type="pct"/>
            <w:gridSpan w:val="2"/>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50" w:beforeAutospacing="0" w:after="50" w:afterAutospacing="0"/>
              <w:ind w:left="0" w:right="0" w:firstLine="0" w:firstLineChars="0"/>
              <w:rPr>
                <w:rFonts w:hint="eastAsia" w:ascii="宋体" w:hAnsi="宋体" w:eastAsia="宋体" w:cs="Times New Roman"/>
                <w:sz w:val="18"/>
                <w:szCs w:val="18"/>
                <w:lang w:val="en-US" w:eastAsia="zh-CN" w:bidi="ar-SA"/>
              </w:rPr>
            </w:pPr>
            <w:r>
              <w:rPr>
                <w:rFonts w:hint="eastAsia" w:hAnsi="宋体" w:cs="宋体"/>
                <w:color w:val="000000"/>
                <w:sz w:val="18"/>
                <w:szCs w:val="18"/>
              </w:rPr>
              <w:t>工厂实现工序自动化，</w:t>
            </w:r>
            <w:r>
              <w:rPr>
                <w:rFonts w:hint="eastAsia" w:hAnsi="宋体" w:cs="宋体"/>
                <w:b w:val="0"/>
                <w:bCs/>
                <w:color w:val="000000"/>
                <w:sz w:val="18"/>
                <w:szCs w:val="18"/>
              </w:rPr>
              <w:t>部分</w:t>
            </w:r>
            <w:r>
              <w:rPr>
                <w:rFonts w:hint="eastAsia" w:hAnsi="宋体" w:cs="宋体"/>
                <w:color w:val="000000"/>
                <w:sz w:val="18"/>
                <w:szCs w:val="18"/>
              </w:rPr>
              <w:t>生产车间采用自动化流水线作业，如</w:t>
            </w:r>
            <w:r>
              <w:rPr>
                <w:rFonts w:hint="eastAsia" w:hAnsi="宋体"/>
                <w:sz w:val="18"/>
                <w:szCs w:val="18"/>
              </w:rPr>
              <w:t>数控精雕机(CNC)车间等。</w:t>
            </w:r>
          </w:p>
        </w:tc>
        <w:tc>
          <w:tcPr>
            <w:tcW w:w="931" w:type="pct"/>
            <w:tcBorders>
              <w:top w:val="single" w:color="000000" w:sz="12"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rPr>
                <w:rFonts w:hint="eastAsia" w:ascii="宋体" w:hAnsi="宋体" w:eastAsia="宋体" w:cs="宋体"/>
                <w:color w:val="000000"/>
                <w:sz w:val="18"/>
                <w:szCs w:val="18"/>
                <w:lang w:val="en-US" w:eastAsia="zh-CN" w:bidi="ar-SA"/>
              </w:rPr>
            </w:pPr>
            <w:r>
              <w:rPr>
                <w:rFonts w:hint="eastAsia" w:hAnsi="宋体" w:cs="宋体"/>
                <w:color w:val="000000"/>
                <w:sz w:val="18"/>
                <w:szCs w:val="18"/>
              </w:rPr>
              <w:t>以生产工序单机自动化为主。如CNC、</w:t>
            </w:r>
            <w:r>
              <w:rPr>
                <w:rFonts w:hint="eastAsia" w:hAnsi="宋体"/>
                <w:sz w:val="18"/>
                <w:szCs w:val="18"/>
              </w:rPr>
              <w:t>自动注蜡机等。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eastAsia="宋体"/>
                <w:sz w:val="18"/>
                <w:szCs w:val="18"/>
                <w:lang w:val="en-US" w:eastAsia="zh-CN"/>
              </w:rPr>
            </w:pPr>
            <w:r>
              <w:rPr>
                <w:rFonts w:hint="eastAsia"/>
                <w:sz w:val="18"/>
                <w:szCs w:val="18"/>
                <w:lang w:val="en-US" w:eastAsia="zh-CN"/>
              </w:rPr>
              <w:t>10</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机械化程度</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0.10</w:t>
            </w:r>
          </w:p>
        </w:tc>
        <w:tc>
          <w:tcPr>
            <w:tcW w:w="1018"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b w:val="0"/>
                <w:bCs w:val="0"/>
                <w:color w:val="auto"/>
                <w:sz w:val="18"/>
                <w:szCs w:val="18"/>
                <w:lang w:val="en-US" w:eastAsia="zh-CN" w:bidi="ar-SA"/>
              </w:rPr>
            </w:pPr>
            <w:r>
              <w:rPr>
                <w:rFonts w:hint="eastAsia" w:hAnsi="宋体"/>
                <w:b w:val="0"/>
                <w:bCs w:val="0"/>
                <w:color w:val="auto"/>
                <w:sz w:val="18"/>
                <w:szCs w:val="18"/>
              </w:rPr>
              <w:t>≥</w:t>
            </w:r>
            <w:r>
              <w:rPr>
                <w:rFonts w:hint="eastAsia" w:hAnsi="宋体" w:cs="宋体"/>
                <w:b w:val="0"/>
                <w:bCs w:val="0"/>
                <w:color w:val="auto"/>
                <w:sz w:val="18"/>
                <w:szCs w:val="18"/>
              </w:rPr>
              <w:t>80</w:t>
            </w:r>
          </w:p>
        </w:tc>
        <w:tc>
          <w:tcPr>
            <w:tcW w:w="1014"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Times New Roman"/>
                <w:b w:val="0"/>
                <w:bCs w:val="0"/>
                <w:color w:val="auto"/>
                <w:sz w:val="18"/>
                <w:szCs w:val="18"/>
                <w:lang w:val="en-US" w:eastAsia="zh-CN" w:bidi="ar-SA"/>
              </w:rPr>
            </w:pPr>
            <w:r>
              <w:rPr>
                <w:rFonts w:hint="eastAsia" w:hAnsi="宋体"/>
                <w:b w:val="0"/>
                <w:bCs w:val="0"/>
                <w:color w:val="auto"/>
                <w:sz w:val="18"/>
                <w:szCs w:val="18"/>
              </w:rPr>
              <w:t>≥60</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Times New Roman"/>
                <w:b w:val="0"/>
                <w:bCs w:val="0"/>
                <w:color w:val="auto"/>
                <w:sz w:val="18"/>
                <w:szCs w:val="18"/>
                <w:lang w:val="en-US" w:eastAsia="zh-CN" w:bidi="ar-SA"/>
              </w:rPr>
            </w:pPr>
            <w:r>
              <w:rPr>
                <w:rFonts w:hint="eastAsia" w:hAnsi="宋体"/>
                <w:b w:val="0"/>
                <w:bCs w:val="0"/>
                <w:color w:val="auto"/>
                <w:sz w:val="18"/>
                <w:szCs w:val="18"/>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eastAsia="宋体"/>
                <w:sz w:val="18"/>
                <w:szCs w:val="18"/>
                <w:lang w:val="en-US" w:eastAsia="zh-CN"/>
              </w:rPr>
            </w:pPr>
            <w:r>
              <w:rPr>
                <w:rFonts w:hint="eastAsia"/>
                <w:sz w:val="18"/>
                <w:szCs w:val="18"/>
                <w:lang w:val="en-US" w:eastAsia="zh-CN"/>
              </w:rPr>
              <w:t>11</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智能制造程度</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0.10</w:t>
            </w:r>
          </w:p>
        </w:tc>
        <w:tc>
          <w:tcPr>
            <w:tcW w:w="1018"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b w:val="0"/>
                <w:bCs w:val="0"/>
                <w:color w:val="auto"/>
                <w:sz w:val="18"/>
                <w:szCs w:val="18"/>
                <w:lang w:val="en-US" w:eastAsia="zh-CN" w:bidi="ar-SA"/>
              </w:rPr>
            </w:pPr>
            <w:r>
              <w:rPr>
                <w:rFonts w:hint="eastAsia" w:hAnsi="宋体"/>
                <w:b w:val="0"/>
                <w:bCs w:val="0"/>
                <w:color w:val="auto"/>
                <w:sz w:val="18"/>
                <w:szCs w:val="18"/>
              </w:rPr>
              <w:t>≥</w:t>
            </w:r>
            <w:r>
              <w:rPr>
                <w:rFonts w:hint="eastAsia" w:hAnsi="宋体" w:cs="宋体"/>
                <w:b w:val="0"/>
                <w:bCs w:val="0"/>
                <w:color w:val="auto"/>
                <w:sz w:val="18"/>
                <w:szCs w:val="18"/>
              </w:rPr>
              <w:t>50</w:t>
            </w:r>
          </w:p>
        </w:tc>
        <w:tc>
          <w:tcPr>
            <w:tcW w:w="1014"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宋体"/>
                <w:b w:val="0"/>
                <w:bCs w:val="0"/>
                <w:color w:val="auto"/>
                <w:sz w:val="18"/>
                <w:szCs w:val="18"/>
                <w:lang w:val="en-US" w:eastAsia="zh-CN" w:bidi="ar-SA"/>
              </w:rPr>
            </w:pPr>
            <w:r>
              <w:rPr>
                <w:rFonts w:hint="eastAsia" w:hAnsi="宋体"/>
                <w:b w:val="0"/>
                <w:bCs w:val="0"/>
                <w:color w:val="auto"/>
                <w:sz w:val="18"/>
                <w:szCs w:val="18"/>
              </w:rPr>
              <w:t>≥</w:t>
            </w:r>
            <w:r>
              <w:rPr>
                <w:rFonts w:hint="eastAsia" w:hAnsi="宋体" w:cs="宋体"/>
                <w:b w:val="0"/>
                <w:bCs w:val="0"/>
                <w:color w:val="auto"/>
                <w:sz w:val="18"/>
                <w:szCs w:val="18"/>
              </w:rPr>
              <w:t>30</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Times New Roman"/>
                <w:b w:val="0"/>
                <w:bCs w:val="0"/>
                <w:color w:val="auto"/>
                <w:sz w:val="18"/>
                <w:szCs w:val="18"/>
                <w:lang w:val="en-US" w:eastAsia="zh-CN" w:bidi="ar-SA"/>
              </w:rPr>
            </w:pPr>
            <w:r>
              <w:rPr>
                <w:rFonts w:hint="eastAsia" w:hAnsi="宋体"/>
                <w:b w:val="0"/>
                <w:bCs w:val="0"/>
                <w:color w:val="auto"/>
                <w:sz w:val="18"/>
                <w:szCs w:val="18"/>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eastAsia="宋体"/>
                <w:sz w:val="18"/>
                <w:szCs w:val="18"/>
                <w:lang w:val="en-US" w:eastAsia="zh-CN"/>
              </w:rPr>
            </w:pPr>
            <w:r>
              <w:rPr>
                <w:rFonts w:hint="eastAsia"/>
                <w:sz w:val="18"/>
                <w:szCs w:val="18"/>
                <w:lang w:val="en-US" w:eastAsia="zh-CN"/>
              </w:rPr>
              <w:t>12</w:t>
            </w:r>
          </w:p>
        </w:tc>
        <w:tc>
          <w:tcPr>
            <w:tcW w:w="256"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产品特征指标</w:t>
            </w:r>
          </w:p>
        </w:tc>
        <w:tc>
          <w:tcPr>
            <w:tcW w:w="26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0.2</w:t>
            </w:r>
          </w:p>
        </w:tc>
        <w:tc>
          <w:tcPr>
            <w:tcW w:w="35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产品合格率</w:t>
            </w: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产品标准</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0.30</w:t>
            </w:r>
          </w:p>
        </w:tc>
        <w:tc>
          <w:tcPr>
            <w:tcW w:w="203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宋体" w:hAnsi="Times New Roman" w:eastAsia="宋体" w:cs="Times New Roman"/>
                <w:b w:val="0"/>
                <w:bCs w:val="0"/>
                <w:color w:val="auto"/>
                <w:kern w:val="2"/>
                <w:sz w:val="18"/>
                <w:szCs w:val="18"/>
                <w:lang w:val="en-US" w:eastAsia="zh-CN" w:bidi="ar-SA"/>
              </w:rPr>
            </w:pPr>
            <w:r>
              <w:rPr>
                <w:rFonts w:hint="eastAsia" w:ascii="宋体"/>
                <w:b w:val="0"/>
                <w:bCs w:val="0"/>
                <w:color w:val="auto"/>
                <w:sz w:val="18"/>
                <w:szCs w:val="18"/>
              </w:rPr>
              <w:t>制定严于国家</w:t>
            </w:r>
            <w:r>
              <w:rPr>
                <w:rFonts w:hint="eastAsia" w:ascii="宋体"/>
                <w:b w:val="0"/>
                <w:bCs w:val="0"/>
                <w:color w:val="auto"/>
                <w:sz w:val="18"/>
                <w:szCs w:val="18"/>
                <w:lang w:val="en-US" w:eastAsia="zh-CN"/>
              </w:rPr>
              <w:t>标准</w:t>
            </w:r>
            <w:r>
              <w:rPr>
                <w:rFonts w:hint="eastAsia" w:ascii="宋体"/>
                <w:b w:val="0"/>
                <w:bCs w:val="0"/>
                <w:color w:val="auto"/>
                <w:sz w:val="18"/>
                <w:szCs w:val="18"/>
              </w:rPr>
              <w:t>、行业</w:t>
            </w:r>
            <w:r>
              <w:rPr>
                <w:rFonts w:hint="eastAsia" w:ascii="宋体"/>
                <w:b w:val="0"/>
                <w:bCs w:val="0"/>
                <w:color w:val="auto"/>
                <w:sz w:val="18"/>
                <w:szCs w:val="18"/>
                <w:lang w:val="en-US" w:eastAsia="zh-CN"/>
              </w:rPr>
              <w:t>标准</w:t>
            </w:r>
            <w:r>
              <w:rPr>
                <w:rFonts w:hint="eastAsia" w:ascii="宋体"/>
                <w:b w:val="0"/>
                <w:bCs w:val="0"/>
                <w:color w:val="auto"/>
                <w:sz w:val="18"/>
                <w:szCs w:val="18"/>
              </w:rPr>
              <w:t>、</w:t>
            </w:r>
            <w:r>
              <w:rPr>
                <w:rFonts w:hint="eastAsia" w:ascii="宋体"/>
                <w:b w:val="0"/>
                <w:bCs w:val="0"/>
                <w:color w:val="auto"/>
                <w:sz w:val="18"/>
                <w:szCs w:val="18"/>
                <w:lang w:val="en-US" w:eastAsia="zh-CN"/>
              </w:rPr>
              <w:t>或</w:t>
            </w:r>
            <w:r>
              <w:rPr>
                <w:rFonts w:hint="eastAsia" w:ascii="宋体"/>
                <w:b w:val="0"/>
                <w:bCs w:val="0"/>
                <w:color w:val="auto"/>
                <w:sz w:val="18"/>
                <w:szCs w:val="18"/>
              </w:rPr>
              <w:t>地方标准的企业标准并有效实施。</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rPr>
                <w:rFonts w:hint="eastAsia" w:ascii="宋体" w:hAnsi="Times New Roman" w:eastAsia="宋体" w:cs="Times New Roman"/>
                <w:b w:val="0"/>
                <w:bCs w:val="0"/>
                <w:color w:val="auto"/>
                <w:kern w:val="2"/>
                <w:sz w:val="18"/>
                <w:szCs w:val="18"/>
                <w:lang w:val="en-US" w:eastAsia="zh-CN" w:bidi="ar-SA"/>
              </w:rPr>
            </w:pPr>
            <w:r>
              <w:rPr>
                <w:rFonts w:hint="eastAsia" w:ascii="宋体"/>
                <w:b w:val="0"/>
                <w:bCs w:val="0"/>
                <w:color w:val="auto"/>
                <w:sz w:val="18"/>
                <w:szCs w:val="18"/>
              </w:rPr>
              <w:t>执行国家标准、行业标准或地方标准并有效实施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4"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13</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line="280" w:lineRule="exact"/>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品质控制</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0.20</w:t>
            </w:r>
          </w:p>
        </w:tc>
        <w:tc>
          <w:tcPr>
            <w:tcW w:w="2033"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Times New Roman" w:hAnsi="Times New Roman" w:eastAsia="宋体" w:cs="Times New Roman"/>
                <w:color w:val="000000"/>
                <w:kern w:val="2"/>
                <w:sz w:val="18"/>
                <w:szCs w:val="18"/>
                <w:lang w:val="en-US" w:eastAsia="zh-CN" w:bidi="ar-SA"/>
              </w:rPr>
            </w:pPr>
            <w:r>
              <w:rPr>
                <w:rFonts w:hint="eastAsia"/>
                <w:color w:val="000000"/>
                <w:sz w:val="18"/>
                <w:szCs w:val="18"/>
              </w:rPr>
              <w:t>企业配置质检部门，按执行标准或客户要求对产品进行出厂检验。</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rPr>
                <w:rFonts w:hint="eastAsia" w:ascii="Times New Roman" w:hAnsi="Times New Roman" w:eastAsia="宋体" w:cs="Times New Roman"/>
                <w:color w:val="000000"/>
                <w:kern w:val="2"/>
                <w:sz w:val="18"/>
                <w:szCs w:val="18"/>
                <w:lang w:val="en-US" w:eastAsia="zh-CN" w:bidi="ar-SA"/>
              </w:rPr>
            </w:pPr>
            <w:r>
              <w:rPr>
                <w:rFonts w:hint="eastAsia"/>
                <w:color w:val="000000"/>
                <w:sz w:val="18"/>
                <w:szCs w:val="18"/>
              </w:rPr>
              <w:t>找第三方质检机构定期进行产品抽样检测。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14</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35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459"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line="280" w:lineRule="exact"/>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抽检情况</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0.15</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hAnsi="宋体" w:cs="宋体"/>
                <w:color w:val="000000"/>
                <w:sz w:val="18"/>
                <w:szCs w:val="18"/>
              </w:rPr>
            </w:pPr>
            <w:r>
              <w:rPr>
                <w:rFonts w:hint="eastAsia" w:ascii="宋体"/>
                <w:color w:val="000000"/>
                <w:sz w:val="18"/>
                <w:szCs w:val="18"/>
              </w:rPr>
              <w:t>抽检质量合格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15</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标识</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0.15</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hAnsi="宋体" w:cs="宋体"/>
                <w:color w:val="000000"/>
                <w:sz w:val="18"/>
                <w:szCs w:val="18"/>
              </w:rPr>
            </w:pPr>
            <w:r>
              <w:rPr>
                <w:rFonts w:hint="eastAsia" w:ascii="宋体" w:hAnsi="宋体"/>
                <w:color w:val="000000"/>
                <w:sz w:val="18"/>
                <w:szCs w:val="18"/>
              </w:rPr>
              <w:t>符合GB 11887、GB/T 31912的规定。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16</w:t>
            </w:r>
          </w:p>
        </w:tc>
        <w:tc>
          <w:tcPr>
            <w:tcW w:w="256" w:type="pct"/>
            <w:vMerge w:val="continue"/>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1" w:type="pct"/>
            <w:gridSpan w:val="2"/>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产品中有害元素</w:t>
            </w:r>
            <w:r>
              <w:rPr>
                <w:rFonts w:hint="default" w:hAnsi="宋体"/>
                <w:color w:val="000000"/>
                <w:sz w:val="18"/>
                <w:szCs w:val="18"/>
                <w:vertAlign w:val="superscript"/>
              </w:rPr>
              <w:t>*</w:t>
            </w:r>
          </w:p>
        </w:tc>
        <w:tc>
          <w:tcPr>
            <w:tcW w:w="243"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w:t>
            </w:r>
          </w:p>
        </w:tc>
        <w:tc>
          <w:tcPr>
            <w:tcW w:w="295" w:type="pct"/>
            <w:tcBorders>
              <w:top w:val="single" w:color="000000" w:sz="4"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0.20</w:t>
            </w:r>
          </w:p>
        </w:tc>
        <w:tc>
          <w:tcPr>
            <w:tcW w:w="2965" w:type="pct"/>
            <w:gridSpan w:val="4"/>
            <w:tcBorders>
              <w:top w:val="single" w:color="000000" w:sz="4" w:space="0"/>
              <w:left w:val="single" w:color="000000" w:sz="4" w:space="0"/>
              <w:bottom w:val="single" w:color="000000" w:sz="12"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hAnsi="宋体" w:cs="宋体"/>
                <w:color w:val="000000"/>
                <w:sz w:val="18"/>
                <w:szCs w:val="18"/>
              </w:rPr>
            </w:pPr>
            <w:r>
              <w:rPr>
                <w:rFonts w:hint="eastAsia" w:ascii="宋体" w:hAnsi="宋体"/>
                <w:color w:val="000000"/>
                <w:sz w:val="18"/>
                <w:szCs w:val="18"/>
              </w:rPr>
              <w:t>符合GB 28480的规定。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5000" w:type="pct"/>
            <w:gridSpan w:val="11"/>
            <w:tcBorders>
              <w:top w:val="single" w:color="000000" w:sz="12" w:space="0"/>
              <w:left w:val="single" w:color="000000" w:sz="12" w:space="0"/>
              <w:bottom w:val="single" w:color="000000" w:sz="12"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color w:val="000000"/>
                <w:sz w:val="18"/>
                <w:szCs w:val="18"/>
              </w:rPr>
            </w:pPr>
            <w:r>
              <w:rPr>
                <w:rFonts w:hint="eastAsia" w:ascii="黑体" w:hAnsi="黑体" w:eastAsia="黑体" w:cs="黑体"/>
                <w:sz w:val="21"/>
                <w:szCs w:val="21"/>
              </w:rPr>
              <w:t>表1</w:t>
            </w:r>
            <w:r>
              <w:rPr>
                <w:rFonts w:hint="eastAsia" w:ascii="宋体" w:hAnsi="宋体" w:eastAsia="宋体" w:cs="宋体"/>
                <w:sz w:val="21"/>
                <w:szCs w:val="21"/>
              </w:rPr>
              <w:t>（第</w:t>
            </w:r>
            <w:r>
              <w:rPr>
                <w:rFonts w:hint="eastAsia" w:ascii="宋体" w:hAnsi="宋体" w:cs="宋体"/>
                <w:sz w:val="21"/>
                <w:szCs w:val="21"/>
                <w:lang w:val="en-US" w:eastAsia="zh-CN"/>
              </w:rPr>
              <w:t>3</w:t>
            </w:r>
            <w:r>
              <w:rPr>
                <w:rFonts w:hint="eastAsia" w:ascii="宋体" w:hAnsi="宋体" w:eastAsia="宋体" w:cs="宋体"/>
                <w:sz w:val="21"/>
                <w:szCs w:val="21"/>
              </w:rPr>
              <w:t>页/共3页）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12" w:space="0"/>
              <w:left w:val="single" w:color="000000" w:sz="12"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序号</w:t>
            </w:r>
          </w:p>
        </w:tc>
        <w:tc>
          <w:tcPr>
            <w:tcW w:w="256"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一级指标</w:t>
            </w:r>
          </w:p>
        </w:tc>
        <w:tc>
          <w:tcPr>
            <w:tcW w:w="261"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一级指标权重</w:t>
            </w:r>
          </w:p>
        </w:tc>
        <w:tc>
          <w:tcPr>
            <w:tcW w:w="811" w:type="pct"/>
            <w:gridSpan w:val="2"/>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二级指标</w:t>
            </w:r>
          </w:p>
        </w:tc>
        <w:tc>
          <w:tcPr>
            <w:tcW w:w="243"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指标单位</w:t>
            </w:r>
          </w:p>
        </w:tc>
        <w:tc>
          <w:tcPr>
            <w:tcW w:w="295"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二级指标权重</w:t>
            </w:r>
          </w:p>
        </w:tc>
        <w:tc>
          <w:tcPr>
            <w:tcW w:w="1019" w:type="pct"/>
            <w:gridSpan w:val="2"/>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Ⅰ级基准值</w:t>
            </w:r>
          </w:p>
        </w:tc>
        <w:tc>
          <w:tcPr>
            <w:tcW w:w="1013"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Ⅱ级基准值</w:t>
            </w:r>
          </w:p>
        </w:tc>
        <w:tc>
          <w:tcPr>
            <w:tcW w:w="931" w:type="pct"/>
            <w:tcBorders>
              <w:top w:val="single" w:color="000000" w:sz="12" w:space="0"/>
              <w:left w:val="single" w:color="000000" w:sz="4" w:space="0"/>
              <w:bottom w:val="single" w:color="000000" w:sz="12" w:space="0"/>
              <w:right w:val="single" w:color="000000" w:sz="12"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Ⅲ级基准值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12"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17</w:t>
            </w:r>
          </w:p>
        </w:tc>
        <w:tc>
          <w:tcPr>
            <w:tcW w:w="256"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资源能源消耗</w:t>
            </w:r>
          </w:p>
        </w:tc>
        <w:tc>
          <w:tcPr>
            <w:tcW w:w="261"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w:t>
            </w:r>
          </w:p>
        </w:tc>
        <w:tc>
          <w:tcPr>
            <w:tcW w:w="811" w:type="pct"/>
            <w:gridSpan w:val="2"/>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贵金属利用率</w:t>
            </w:r>
          </w:p>
        </w:tc>
        <w:tc>
          <w:tcPr>
            <w:tcW w:w="243"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hAnsi="宋体"/>
                <w:sz w:val="18"/>
                <w:szCs w:val="18"/>
              </w:rPr>
              <w:t>1.00</w:t>
            </w:r>
          </w:p>
        </w:tc>
        <w:tc>
          <w:tcPr>
            <w:tcW w:w="1019" w:type="pct"/>
            <w:gridSpan w:val="2"/>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Times New Roman"/>
                <w:color w:val="000000"/>
                <w:sz w:val="18"/>
                <w:szCs w:val="18"/>
                <w:lang w:val="en-US" w:eastAsia="zh-CN" w:bidi="ar-SA"/>
              </w:rPr>
            </w:pPr>
            <w:r>
              <w:rPr>
                <w:rFonts w:hint="eastAsia" w:hAnsi="宋体"/>
                <w:color w:val="000000"/>
                <w:sz w:val="18"/>
                <w:szCs w:val="18"/>
              </w:rPr>
              <w:t>≥</w:t>
            </w:r>
            <w:r>
              <w:rPr>
                <w:rFonts w:hint="default" w:hAnsi="宋体"/>
                <w:color w:val="000000"/>
                <w:sz w:val="18"/>
                <w:szCs w:val="18"/>
              </w:rPr>
              <w:t>9</w:t>
            </w:r>
            <w:r>
              <w:rPr>
                <w:rFonts w:hint="eastAsia" w:hAnsi="宋体"/>
                <w:color w:val="000000"/>
                <w:sz w:val="18"/>
                <w:szCs w:val="18"/>
              </w:rPr>
              <w:t>9.9</w:t>
            </w:r>
          </w:p>
        </w:tc>
        <w:tc>
          <w:tcPr>
            <w:tcW w:w="1013" w:type="pct"/>
            <w:tcBorders>
              <w:top w:val="single" w:color="000000" w:sz="12"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rPr>
              <w:t>≥99.7</w:t>
            </w:r>
          </w:p>
        </w:tc>
        <w:tc>
          <w:tcPr>
            <w:tcW w:w="931" w:type="pct"/>
            <w:tcBorders>
              <w:top w:val="single" w:color="000000" w:sz="12"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rPr>
              <w:t>≥99.5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18</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资源综合利用</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0.1</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生产用水重复利用率</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1.00</w:t>
            </w: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Times New Roman"/>
                <w:color w:val="000000"/>
                <w:kern w:val="2"/>
                <w:sz w:val="18"/>
                <w:szCs w:val="18"/>
                <w:lang w:val="en-US" w:eastAsia="zh-CN" w:bidi="ar-SA"/>
              </w:rPr>
            </w:pPr>
            <w:r>
              <w:rPr>
                <w:rFonts w:hint="eastAsia" w:hAnsi="宋体"/>
                <w:color w:val="000000"/>
                <w:sz w:val="18"/>
                <w:szCs w:val="18"/>
              </w:rPr>
              <w:t>≥</w:t>
            </w:r>
            <w:r>
              <w:rPr>
                <w:rFonts w:hint="default" w:hAnsi="宋体"/>
                <w:color w:val="000000"/>
                <w:sz w:val="18"/>
                <w:szCs w:val="18"/>
              </w:rPr>
              <w:t>9</w:t>
            </w:r>
            <w:r>
              <w:rPr>
                <w:rFonts w:hint="eastAsia" w:hAnsi="宋体"/>
                <w:color w:val="000000"/>
                <w:sz w:val="18"/>
                <w:szCs w:val="18"/>
              </w:rPr>
              <w:t>0</w:t>
            </w:r>
          </w:p>
        </w:tc>
        <w:tc>
          <w:tcPr>
            <w:tcW w:w="10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Times New Roman"/>
                <w:color w:val="000000"/>
                <w:kern w:val="2"/>
                <w:sz w:val="18"/>
                <w:szCs w:val="18"/>
                <w:lang w:val="en-US" w:eastAsia="zh-CN" w:bidi="ar-SA"/>
              </w:rPr>
            </w:pPr>
            <w:r>
              <w:rPr>
                <w:rFonts w:hint="eastAsia" w:hAnsi="宋体"/>
                <w:color w:val="000000"/>
                <w:sz w:val="18"/>
                <w:szCs w:val="18"/>
              </w:rPr>
              <w:t>≥70</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Times New Roman"/>
                <w:color w:val="000000"/>
                <w:kern w:val="2"/>
                <w:sz w:val="18"/>
                <w:szCs w:val="18"/>
                <w:lang w:val="en-US" w:eastAsia="zh-CN" w:bidi="ar-SA"/>
              </w:rPr>
            </w:pPr>
            <w:r>
              <w:rPr>
                <w:rFonts w:hint="eastAsia" w:hAnsi="宋体"/>
                <w:color w:val="000000"/>
                <w:sz w:val="18"/>
                <w:szCs w:val="18"/>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19</w:t>
            </w:r>
          </w:p>
        </w:tc>
        <w:tc>
          <w:tcPr>
            <w:tcW w:w="256"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污染物产生指标</w:t>
            </w:r>
          </w:p>
        </w:tc>
        <w:tc>
          <w:tcPr>
            <w:tcW w:w="261"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0.2</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作业环境化学有害元素的职业接触限值</w:t>
            </w:r>
            <w:r>
              <w:rPr>
                <w:rFonts w:hint="default" w:hAnsi="宋体"/>
                <w:color w:val="000000"/>
                <w:sz w:val="18"/>
                <w:szCs w:val="18"/>
                <w:vertAlign w:val="superscript"/>
              </w:rPr>
              <w:t>*</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0.25</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符合GBZ 2.1的要求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20</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b w:val="0"/>
                <w:bCs/>
                <w:color w:val="auto"/>
                <w:sz w:val="18"/>
                <w:szCs w:val="18"/>
                <w:lang w:val="en-US" w:eastAsia="zh-CN" w:bidi="ar-SA"/>
              </w:rPr>
            </w:pPr>
            <w:r>
              <w:rPr>
                <w:rFonts w:hint="eastAsia"/>
                <w:b w:val="0"/>
                <w:bCs/>
                <w:color w:val="auto"/>
                <w:sz w:val="18"/>
                <w:szCs w:val="18"/>
              </w:rPr>
              <w:t>工业废水排放指标</w:t>
            </w:r>
            <w:r>
              <w:rPr>
                <w:rFonts w:hint="default" w:hAnsi="宋体"/>
                <w:b w:val="0"/>
                <w:bCs/>
                <w:color w:val="auto"/>
                <w:sz w:val="18"/>
                <w:szCs w:val="18"/>
                <w:vertAlign w:val="superscript"/>
              </w:rPr>
              <w:t>*</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18"/>
                <w:szCs w:val="18"/>
                <w:lang w:val="en-US" w:eastAsia="zh-CN" w:bidi="ar-SA"/>
              </w:rPr>
            </w:pPr>
            <w:r>
              <w:rPr>
                <w:rFonts w:hint="eastAsia" w:ascii="宋体" w:hAnsi="宋体" w:cs="宋体"/>
                <w:sz w:val="18"/>
                <w:szCs w:val="18"/>
              </w:rPr>
              <w:t>0.25</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符合SZJG 42的规定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21</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b w:val="0"/>
                <w:bCs/>
                <w:color w:val="auto"/>
                <w:sz w:val="18"/>
                <w:szCs w:val="18"/>
                <w:lang w:val="en-US" w:eastAsia="zh-CN" w:bidi="ar-SA"/>
              </w:rPr>
            </w:pPr>
            <w:r>
              <w:rPr>
                <w:rFonts w:hint="eastAsia"/>
                <w:b w:val="0"/>
                <w:bCs/>
                <w:color w:val="auto"/>
                <w:sz w:val="18"/>
                <w:szCs w:val="18"/>
              </w:rPr>
              <w:t>工业废气排放指标</w:t>
            </w:r>
            <w:r>
              <w:rPr>
                <w:rFonts w:hint="default" w:hAnsi="宋体"/>
                <w:b w:val="0"/>
                <w:bCs/>
                <w:color w:val="auto"/>
                <w:sz w:val="18"/>
                <w:szCs w:val="18"/>
                <w:vertAlign w:val="superscript"/>
              </w:rPr>
              <w:t>*</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18"/>
                <w:szCs w:val="18"/>
                <w:lang w:val="en-US" w:eastAsia="zh-CN" w:bidi="ar-SA"/>
              </w:rPr>
            </w:pPr>
            <w:r>
              <w:rPr>
                <w:rFonts w:hint="eastAsia" w:ascii="宋体" w:hAnsi="宋体" w:cs="宋体"/>
                <w:sz w:val="18"/>
                <w:szCs w:val="18"/>
              </w:rPr>
              <w:t>0.25</w:t>
            </w:r>
          </w:p>
        </w:tc>
        <w:tc>
          <w:tcPr>
            <w:tcW w:w="2965" w:type="pct"/>
            <w:gridSpan w:val="4"/>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符合SZJG 41的规定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22</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000000"/>
                <w:sz w:val="18"/>
                <w:szCs w:val="18"/>
                <w:lang w:val="en-US" w:eastAsia="zh-CN" w:bidi="ar-SA"/>
              </w:rPr>
            </w:pPr>
            <w:r>
              <w:rPr>
                <w:rFonts w:hint="eastAsia"/>
                <w:sz w:val="18"/>
                <w:szCs w:val="18"/>
              </w:rPr>
              <w:t>厂界噪音指标（昼间/夜间）</w:t>
            </w:r>
            <w:r>
              <w:rPr>
                <w:rFonts w:hint="default" w:hAnsi="宋体"/>
                <w:color w:val="000000"/>
                <w:sz w:val="18"/>
                <w:szCs w:val="18"/>
                <w:vertAlign w:val="superscript"/>
              </w:rPr>
              <w:t>*</w:t>
            </w:r>
          </w:p>
        </w:tc>
        <w:tc>
          <w:tcPr>
            <w:tcW w:w="243"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ascii="宋体" w:hAnsi="Times New Roman" w:eastAsia="宋体" w:cs="Times New Roman"/>
                <w:sz w:val="18"/>
                <w:szCs w:val="18"/>
                <w:lang w:val="en-US" w:eastAsia="zh-CN" w:bidi="ar-SA"/>
              </w:rPr>
            </w:pPr>
            <w:r>
              <w:rPr>
                <w:rFonts w:hint="eastAsia"/>
                <w:sz w:val="18"/>
                <w:szCs w:val="18"/>
              </w:rPr>
              <w:t>-</w:t>
            </w:r>
          </w:p>
        </w:tc>
        <w:tc>
          <w:tcPr>
            <w:tcW w:w="2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18"/>
                <w:szCs w:val="18"/>
                <w:lang w:val="en-US" w:eastAsia="zh-CN" w:bidi="ar-SA"/>
              </w:rPr>
            </w:pPr>
            <w:r>
              <w:rPr>
                <w:rFonts w:hint="eastAsia" w:ascii="宋体" w:hAnsi="宋体" w:cs="宋体"/>
                <w:sz w:val="18"/>
                <w:szCs w:val="18"/>
              </w:rPr>
              <w:t>0.25</w:t>
            </w:r>
          </w:p>
        </w:tc>
        <w:tc>
          <w:tcPr>
            <w:tcW w:w="101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宋体"/>
                <w:color w:val="000000"/>
                <w:sz w:val="18"/>
                <w:szCs w:val="18"/>
              </w:rPr>
            </w:pPr>
            <w:r>
              <w:rPr>
                <w:rFonts w:hint="eastAsia" w:ascii="宋体" w:hAnsi="宋体" w:eastAsia="宋体" w:cs="宋体"/>
                <w:sz w:val="18"/>
                <w:szCs w:val="18"/>
              </w:rPr>
              <w:t>执行GB 12348的规定，并配备环境噪声自动监测系统</w:t>
            </w:r>
          </w:p>
        </w:tc>
        <w:tc>
          <w:tcPr>
            <w:tcW w:w="1945" w:type="pct"/>
            <w:gridSpan w:val="2"/>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eastAsia="宋体" w:cs="宋体"/>
                <w:color w:val="000000"/>
                <w:sz w:val="18"/>
                <w:szCs w:val="18"/>
              </w:rPr>
            </w:pPr>
            <w:r>
              <w:rPr>
                <w:rFonts w:hint="eastAsia" w:ascii="宋体" w:hAnsi="宋体" w:eastAsia="宋体" w:cs="宋体"/>
                <w:sz w:val="18"/>
                <w:szCs w:val="18"/>
              </w:rPr>
              <w:t>符合GB 12348的规定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23</w:t>
            </w:r>
          </w:p>
        </w:tc>
        <w:tc>
          <w:tcPr>
            <w:tcW w:w="2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bidi w:val="0"/>
              <w:spacing w:before="0" w:beforeAutospacing="0" w:after="0" w:afterAutospacing="0"/>
              <w:ind w:left="0" w:right="0"/>
              <w:jc w:val="center"/>
              <w:rPr>
                <w:rFonts w:hint="eastAsia"/>
                <w:szCs w:val="18"/>
              </w:rPr>
            </w:pPr>
            <w:r>
              <w:rPr>
                <w:rFonts w:hint="eastAsia"/>
                <w:sz w:val="18"/>
                <w:szCs w:val="18"/>
              </w:rPr>
              <w:t>环境管理与劳动安全卫生指标</w:t>
            </w:r>
          </w:p>
        </w:tc>
        <w:tc>
          <w:tcPr>
            <w:tcW w:w="261" w:type="pct"/>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w:t>
            </w:r>
            <w:r>
              <w:rPr>
                <w:rFonts w:hint="default"/>
                <w:sz w:val="18"/>
                <w:szCs w:val="18"/>
              </w:rPr>
              <w:t>2</w:t>
            </w:r>
          </w:p>
        </w:tc>
        <w:tc>
          <w:tcPr>
            <w:tcW w:w="4314" w:type="pct"/>
            <w:gridSpan w:val="8"/>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spacing w:before="50" w:beforeAutospacing="0" w:after="50" w:afterAutospacing="0"/>
              <w:ind w:left="0" w:right="0"/>
              <w:jc w:val="center"/>
              <w:rPr>
                <w:rFonts w:hint="eastAsia" w:ascii="宋体" w:hAnsi="宋体"/>
                <w:color w:val="000000"/>
                <w:sz w:val="18"/>
                <w:szCs w:val="18"/>
              </w:rPr>
            </w:pPr>
            <w:r>
              <w:rPr>
                <w:rFonts w:hint="eastAsia"/>
                <w:sz w:val="18"/>
                <w:szCs w:val="18"/>
              </w:rPr>
              <w:t>详见表2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5000" w:type="pct"/>
            <w:gridSpan w:val="11"/>
            <w:tcBorders>
              <w:top w:val="single" w:color="000000" w:sz="4" w:space="0"/>
              <w:left w:val="single" w:color="000000" w:sz="12" w:space="0"/>
              <w:bottom w:val="single" w:color="000000" w:sz="12" w:space="0"/>
              <w:right w:val="single" w:color="000000" w:sz="12" w:space="0"/>
            </w:tcBorders>
            <w:noWrap w:val="0"/>
            <w:vAlign w:val="center"/>
          </w:tcPr>
          <w:p>
            <w:pPr>
              <w:keepNext w:val="0"/>
              <w:keepLines w:val="0"/>
              <w:suppressLineNumbers w:val="0"/>
              <w:spacing w:before="50" w:beforeAutospacing="0" w:after="50" w:afterAutospacing="0"/>
              <w:ind w:left="0" w:right="0"/>
              <w:jc w:val="left"/>
              <w:rPr>
                <w:rFonts w:hint="eastAsia"/>
                <w:sz w:val="18"/>
                <w:szCs w:val="18"/>
              </w:rPr>
            </w:pPr>
            <w:r>
              <w:rPr>
                <w:rFonts w:hint="eastAsia"/>
                <w:sz w:val="18"/>
                <w:szCs w:val="18"/>
              </w:rPr>
              <w:t>标注</w:t>
            </w:r>
            <w:r>
              <w:rPr>
                <w:rFonts w:hint="default" w:ascii="Times New Roman"/>
                <w:color w:val="000000"/>
                <w:sz w:val="18"/>
                <w:szCs w:val="18"/>
                <w:vertAlign w:val="superscript"/>
              </w:rPr>
              <w:t>*</w:t>
            </w:r>
            <w:r>
              <w:rPr>
                <w:rFonts w:hint="eastAsia" w:ascii="Times New Roman"/>
                <w:color w:val="000000"/>
                <w:sz w:val="18"/>
                <w:szCs w:val="18"/>
                <w:vertAlign w:val="superscript"/>
              </w:rPr>
              <w:t xml:space="preserve"> </w:t>
            </w:r>
            <w:r>
              <w:rPr>
                <w:rFonts w:hint="eastAsia"/>
                <w:sz w:val="18"/>
                <w:szCs w:val="18"/>
              </w:rPr>
              <w:t>的指标为限定性指标</w:t>
            </w:r>
            <w:r>
              <w:rPr>
                <w:rFonts w:hint="eastAsia"/>
                <w:color w:val="000000"/>
                <w:sz w:val="18"/>
                <w:szCs w:val="18"/>
              </w:rPr>
              <w:t>。</w:t>
            </w:r>
          </w:p>
        </w:tc>
      </w:tr>
    </w:tbl>
    <w:p>
      <w:pPr>
        <w:pStyle w:val="24"/>
        <w:spacing w:before="156" w:beforeLines="50" w:after="156" w:afterLines="50"/>
        <w:ind w:left="0" w:leftChars="0" w:firstLine="0" w:firstLineChars="0"/>
        <w:jc w:val="both"/>
        <w:rPr>
          <w:rFonts w:hint="eastAsia" w:ascii="黑体" w:hAnsi="黑体" w:eastAsia="黑体"/>
        </w:rPr>
      </w:pPr>
    </w:p>
    <w:p>
      <w:pPr>
        <w:pStyle w:val="24"/>
        <w:spacing w:before="156" w:beforeLines="50" w:after="156" w:afterLines="50"/>
        <w:jc w:val="center"/>
        <w:rPr>
          <w:rFonts w:hint="eastAsia" w:ascii="黑体" w:hAnsi="黑体" w:eastAsia="黑体"/>
        </w:rPr>
      </w:pPr>
      <w:r>
        <w:rPr>
          <w:rFonts w:hint="eastAsia" w:ascii="黑体" w:hAnsi="黑体" w:eastAsia="黑体"/>
        </w:rPr>
        <w:t>表</w:t>
      </w:r>
      <w:r>
        <w:rPr>
          <w:rFonts w:hint="eastAsia" w:ascii="黑体" w:hAnsi="黑体" w:eastAsia="黑体"/>
          <w:lang w:val="en-US" w:eastAsia="zh-CN"/>
        </w:rPr>
        <w:t xml:space="preserve">2  </w:t>
      </w:r>
      <w:r>
        <w:rPr>
          <w:rFonts w:hint="eastAsia" w:ascii="黑体" w:hAnsi="黑体" w:eastAsia="黑体"/>
        </w:rPr>
        <w:t>清洁生产管理指标</w:t>
      </w:r>
    </w:p>
    <w:tbl>
      <w:tblPr>
        <w:tblStyle w:val="33"/>
        <w:tblW w:w="5013" w:type="pct"/>
        <w:tblInd w:w="-2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4"/>
        <w:gridCol w:w="790"/>
        <w:gridCol w:w="806"/>
        <w:gridCol w:w="2494"/>
        <w:gridCol w:w="1390"/>
        <w:gridCol w:w="3396"/>
        <w:gridCol w:w="11"/>
        <w:gridCol w:w="67"/>
        <w:gridCol w:w="2881"/>
        <w:gridCol w:w="177"/>
        <w:gridCol w:w="2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trPr>
        <w:tc>
          <w:tcPr>
            <w:tcW w:w="166" w:type="pct"/>
            <w:tcBorders>
              <w:top w:val="single" w:color="000000" w:sz="12" w:space="0"/>
              <w:left w:val="single" w:color="000000" w:sz="12"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256"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一级指标</w:t>
            </w:r>
          </w:p>
        </w:tc>
        <w:tc>
          <w:tcPr>
            <w:tcW w:w="261"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一级指标权重</w:t>
            </w:r>
          </w:p>
        </w:tc>
        <w:tc>
          <w:tcPr>
            <w:tcW w:w="810"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二级指标</w:t>
            </w:r>
          </w:p>
        </w:tc>
        <w:tc>
          <w:tcPr>
            <w:tcW w:w="451" w:type="pct"/>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二级指标权重</w:t>
            </w:r>
          </w:p>
        </w:tc>
        <w:tc>
          <w:tcPr>
            <w:tcW w:w="1106" w:type="pct"/>
            <w:gridSpan w:val="2"/>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Ⅰ级基准值</w:t>
            </w:r>
          </w:p>
        </w:tc>
        <w:tc>
          <w:tcPr>
            <w:tcW w:w="1014" w:type="pct"/>
            <w:gridSpan w:val="3"/>
            <w:tcBorders>
              <w:top w:val="single" w:color="000000" w:sz="12" w:space="0"/>
              <w:left w:val="single" w:color="000000" w:sz="4" w:space="0"/>
              <w:bottom w:val="single" w:color="000000" w:sz="12"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Ⅱ级基准值</w:t>
            </w:r>
          </w:p>
        </w:tc>
        <w:tc>
          <w:tcPr>
            <w:tcW w:w="931" w:type="pct"/>
            <w:tcBorders>
              <w:top w:val="single" w:color="000000" w:sz="12" w:space="0"/>
              <w:left w:val="single" w:color="000000" w:sz="4" w:space="0"/>
              <w:bottom w:val="single" w:color="000000" w:sz="12" w:space="0"/>
              <w:right w:val="single" w:color="000000" w:sz="12"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Ⅲ级基准值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66" w:type="pct"/>
            <w:tcBorders>
              <w:top w:val="single" w:color="000000" w:sz="12"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sz w:val="18"/>
                <w:szCs w:val="18"/>
              </w:rPr>
            </w:pPr>
            <w:r>
              <w:rPr>
                <w:rFonts w:hint="eastAsia"/>
                <w:sz w:val="18"/>
                <w:szCs w:val="18"/>
              </w:rPr>
              <w:t>1</w:t>
            </w:r>
          </w:p>
        </w:tc>
        <w:tc>
          <w:tcPr>
            <w:tcW w:w="256" w:type="pct"/>
            <w:vMerge w:val="restar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环境管理与劳动安全卫生指标</w:t>
            </w:r>
          </w:p>
        </w:tc>
        <w:tc>
          <w:tcPr>
            <w:tcW w:w="261" w:type="pct"/>
            <w:vMerge w:val="restart"/>
            <w:tcBorders>
              <w:top w:val="single" w:color="000000" w:sz="12"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r>
              <w:rPr>
                <w:rFonts w:hint="eastAsia"/>
                <w:sz w:val="18"/>
                <w:szCs w:val="18"/>
              </w:rPr>
              <w:t>0.</w:t>
            </w:r>
            <w:r>
              <w:rPr>
                <w:rFonts w:hint="default"/>
                <w:sz w:val="18"/>
                <w:szCs w:val="18"/>
              </w:rPr>
              <w:t>2</w:t>
            </w:r>
          </w:p>
        </w:tc>
        <w:tc>
          <w:tcPr>
            <w:tcW w:w="810" w:type="pct"/>
            <w:tcBorders>
              <w:top w:val="single" w:color="000000" w:sz="12" w:space="0"/>
              <w:left w:val="single" w:color="000000" w:sz="4" w:space="0"/>
              <w:bottom w:val="single" w:color="000000" w:sz="4" w:space="0"/>
              <w:right w:val="single" w:color="000000" w:sz="4" w:space="0"/>
            </w:tcBorders>
            <w:noWrap w:val="0"/>
            <w:vAlign w:val="center"/>
          </w:tcPr>
          <w:p>
            <w:pPr>
              <w:keepNext w:val="0"/>
              <w:keepLines w:val="0"/>
              <w:suppressLineNumbers w:val="0"/>
              <w:bidi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sz w:val="18"/>
                <w:szCs w:val="18"/>
              </w:rPr>
              <w:t>产业政策执行情况*</w:t>
            </w:r>
          </w:p>
        </w:tc>
        <w:tc>
          <w:tcPr>
            <w:tcW w:w="451" w:type="pct"/>
            <w:tcBorders>
              <w:top w:val="single" w:color="000000" w:sz="12" w:space="0"/>
              <w:left w:val="single" w:color="000000" w:sz="4" w:space="0"/>
              <w:bottom w:val="single" w:color="000000" w:sz="4" w:space="0"/>
              <w:right w:val="single" w:color="000000" w:sz="4" w:space="0"/>
            </w:tcBorders>
            <w:noWrap w:val="0"/>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0.15</w:t>
            </w:r>
          </w:p>
        </w:tc>
        <w:tc>
          <w:tcPr>
            <w:tcW w:w="3053" w:type="pct"/>
            <w:gridSpan w:val="6"/>
            <w:tcBorders>
              <w:top w:val="single" w:color="000000" w:sz="12" w:space="0"/>
              <w:left w:val="single" w:color="000000" w:sz="4" w:space="0"/>
              <w:bottom w:val="single" w:color="000000" w:sz="4" w:space="0"/>
              <w:right w:val="single" w:color="000000" w:sz="12" w:space="0"/>
            </w:tcBorders>
            <w:noWrap w:val="0"/>
            <w:vAlign w:val="center"/>
          </w:tcPr>
          <w:p>
            <w:pPr>
              <w:keepNext w:val="0"/>
              <w:keepLines w:val="0"/>
              <w:suppressLineNumbers w:val="0"/>
              <w:bidi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sz w:val="18"/>
                <w:szCs w:val="18"/>
              </w:rPr>
              <w:t>符合国家和地方相关产业政策，不使用国家和地方明令禁止和淘汰的生产工艺。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val="en-US" w:eastAsia="zh-CN"/>
              </w:rPr>
            </w:pPr>
            <w:r>
              <w:rPr>
                <w:rFonts w:hint="eastAsia"/>
                <w:sz w:val="18"/>
                <w:szCs w:val="18"/>
                <w:lang w:val="en-US" w:eastAsia="zh-CN"/>
              </w:rPr>
              <w:t>2</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sz w:val="18"/>
                <w:szCs w:val="18"/>
                <w:highlight w:val="none"/>
              </w:rPr>
            </w:pPr>
            <w:r>
              <w:rPr>
                <w:rFonts w:hint="eastAsia" w:ascii="宋体" w:hAnsi="宋体" w:cs="宋体"/>
                <w:kern w:val="0"/>
                <w:sz w:val="18"/>
                <w:szCs w:val="18"/>
                <w:lang w:bidi="ar"/>
              </w:rPr>
              <w:t>环境法律法规标准执行情况</w:t>
            </w:r>
            <w:r>
              <w:rPr>
                <w:rFonts w:hint="eastAsia" w:ascii="宋体" w:hAnsi="宋体" w:cs="宋体"/>
                <w:color w:val="000000"/>
                <w:kern w:val="0"/>
                <w:sz w:val="18"/>
                <w:szCs w:val="18"/>
                <w:vertAlign w:val="superscript"/>
                <w:lang w:bidi="ar"/>
              </w:rPr>
              <w:t>*</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r>
              <w:rPr>
                <w:rFonts w:hint="eastAsia" w:ascii="宋体" w:hAnsi="宋体" w:cs="宋体"/>
                <w:kern w:val="0"/>
                <w:sz w:val="18"/>
                <w:szCs w:val="18"/>
                <w:lang w:bidi="ar"/>
              </w:rPr>
              <w:t>0.15</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keepNext w:val="0"/>
              <w:keepLines w:val="0"/>
              <w:suppressLineNumbers w:val="0"/>
              <w:bidi w:val="0"/>
              <w:spacing w:before="0" w:beforeAutospacing="0" w:after="0" w:afterAutospacing="0"/>
              <w:ind w:left="0" w:right="0"/>
              <w:jc w:val="both"/>
              <w:rPr>
                <w:rFonts w:hint="eastAsia" w:ascii="宋体" w:hAnsi="宋体"/>
                <w:kern w:val="0"/>
                <w:szCs w:val="18"/>
              </w:rPr>
            </w:pPr>
            <w:r>
              <w:rPr>
                <w:rFonts w:hint="eastAsia"/>
                <w:sz w:val="18"/>
                <w:szCs w:val="18"/>
              </w:rPr>
              <w:t>符合国家和地方有关环境法律、法规，污染物排放达到国家和地方排放标准、总量控制和排污许可证管理要求。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eastAsia="zh-CN"/>
              </w:rPr>
            </w:pPr>
            <w:r>
              <w:rPr>
                <w:rFonts w:hint="eastAsia"/>
                <w:sz w:val="18"/>
                <w:szCs w:val="18"/>
                <w:lang w:val="en-US" w:eastAsia="zh-CN"/>
              </w:rPr>
              <w:t>3</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sz w:val="18"/>
                <w:szCs w:val="18"/>
                <w:highlight w:val="none"/>
              </w:rPr>
            </w:pPr>
            <w:r>
              <w:rPr>
                <w:rFonts w:hint="eastAsia" w:ascii="宋体" w:hAnsi="宋体" w:cs="宋体"/>
                <w:b w:val="0"/>
                <w:bCs/>
                <w:color w:val="auto"/>
                <w:kern w:val="0"/>
                <w:sz w:val="18"/>
                <w:szCs w:val="18"/>
                <w:lang w:bidi="ar"/>
              </w:rPr>
              <w:t>环境管理体系制度</w:t>
            </w:r>
            <w:r>
              <w:rPr>
                <w:rFonts w:hint="eastAsia" w:ascii="宋体" w:hAnsi="宋体" w:cs="宋体"/>
                <w:b w:val="0"/>
                <w:bCs/>
                <w:color w:val="auto"/>
                <w:kern w:val="0"/>
                <w:sz w:val="18"/>
                <w:szCs w:val="18"/>
                <w:lang w:val="en-US" w:eastAsia="zh-CN" w:bidi="ar"/>
              </w:rPr>
              <w:t>及执行情况</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r>
              <w:rPr>
                <w:rFonts w:hint="eastAsia" w:ascii="宋体" w:hAnsi="宋体" w:cs="宋体"/>
                <w:b w:val="0"/>
                <w:bCs/>
                <w:color w:val="auto"/>
                <w:kern w:val="0"/>
                <w:sz w:val="18"/>
                <w:szCs w:val="18"/>
                <w:lang w:bidi="ar"/>
              </w:rPr>
              <w:t>0.10</w:t>
            </w:r>
          </w:p>
        </w:tc>
        <w:tc>
          <w:tcPr>
            <w:tcW w:w="1128"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b w:val="0"/>
                <w:bCs/>
                <w:color w:val="auto"/>
                <w:kern w:val="2"/>
                <w:sz w:val="18"/>
                <w:szCs w:val="18"/>
                <w:lang w:val="en-US" w:eastAsia="zh-CN" w:bidi="ar-SA"/>
              </w:rPr>
            </w:pPr>
            <w:r>
              <w:rPr>
                <w:rFonts w:hint="eastAsia" w:ascii="宋体" w:hAnsi="宋体" w:cs="宋体"/>
                <w:b w:val="0"/>
                <w:bCs/>
                <w:color w:val="auto"/>
                <w:sz w:val="18"/>
                <w:szCs w:val="18"/>
                <w:lang w:bidi="ar"/>
              </w:rPr>
              <w:t>按照GB/T 24001建立环境管理体系，</w:t>
            </w:r>
            <w:r>
              <w:rPr>
                <w:rFonts w:hint="eastAsia" w:ascii="宋体" w:hAnsi="宋体" w:cs="宋体"/>
                <w:b w:val="0"/>
                <w:bCs/>
                <w:color w:val="auto"/>
                <w:kern w:val="0"/>
                <w:sz w:val="18"/>
                <w:szCs w:val="18"/>
                <w:lang w:bidi="ar"/>
              </w:rPr>
              <w:t>并取得认证，能有效运行；环境管理程序文件及作业文件齐备、有效。</w:t>
            </w:r>
          </w:p>
        </w:tc>
        <w:tc>
          <w:tcPr>
            <w:tcW w:w="99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b w:val="0"/>
                <w:bCs/>
                <w:color w:val="auto"/>
                <w:kern w:val="2"/>
                <w:sz w:val="18"/>
                <w:szCs w:val="18"/>
                <w:lang w:val="en-US" w:eastAsia="zh-CN" w:bidi="ar-SA"/>
              </w:rPr>
            </w:pPr>
            <w:r>
              <w:rPr>
                <w:rFonts w:hint="eastAsia" w:ascii="宋体" w:hAnsi="宋体" w:cs="宋体"/>
                <w:b w:val="0"/>
                <w:bCs/>
                <w:color w:val="auto"/>
                <w:sz w:val="18"/>
                <w:szCs w:val="18"/>
                <w:lang w:bidi="ar"/>
              </w:rPr>
              <w:t>按照GB/T 24001建立环境管理体系，能有效运行；</w:t>
            </w:r>
            <w:r>
              <w:rPr>
                <w:rFonts w:hint="eastAsia" w:ascii="宋体" w:hAnsi="宋体" w:cs="宋体"/>
                <w:b w:val="0"/>
                <w:bCs/>
                <w:color w:val="auto"/>
                <w:kern w:val="0"/>
                <w:sz w:val="18"/>
                <w:szCs w:val="18"/>
                <w:lang w:bidi="ar"/>
              </w:rPr>
              <w:t>环境管理程序文件及作业文件齐备、有效</w:t>
            </w:r>
            <w:r>
              <w:rPr>
                <w:rFonts w:hint="eastAsia" w:ascii="宋体" w:hAnsi="宋体" w:cs="宋体"/>
                <w:b w:val="0"/>
                <w:bCs/>
                <w:color w:val="auto"/>
                <w:sz w:val="18"/>
                <w:szCs w:val="18"/>
                <w:lang w:bidi="ar"/>
              </w:rPr>
              <w:t>。</w:t>
            </w:r>
          </w:p>
        </w:tc>
        <w:tc>
          <w:tcPr>
            <w:tcW w:w="931" w:type="pct"/>
            <w:tcBorders>
              <w:top w:val="single" w:color="000000" w:sz="4" w:space="0"/>
              <w:left w:val="single" w:color="000000" w:sz="4" w:space="0"/>
              <w:bottom w:val="single" w:color="000000" w:sz="4" w:space="0"/>
              <w:right w:val="single" w:color="000000" w:sz="12"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b w:val="0"/>
                <w:bCs/>
                <w:color w:val="auto"/>
                <w:kern w:val="2"/>
                <w:sz w:val="18"/>
                <w:szCs w:val="18"/>
                <w:lang w:val="en-US" w:eastAsia="zh-CN" w:bidi="ar-SA"/>
              </w:rPr>
            </w:pPr>
            <w:r>
              <w:rPr>
                <w:rFonts w:hint="eastAsia" w:ascii="宋体" w:hAnsi="宋体" w:cs="宋体"/>
                <w:b w:val="0"/>
                <w:bCs/>
                <w:color w:val="auto"/>
                <w:sz w:val="18"/>
                <w:szCs w:val="18"/>
                <w:lang w:bidi="ar"/>
              </w:rPr>
              <w:t>具有健全的环境管理体系，环境管理手册、程序文件及作业文件齐备。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val="en-US" w:eastAsia="zh-CN"/>
              </w:rPr>
            </w:pPr>
            <w:r>
              <w:rPr>
                <w:rFonts w:hint="eastAsia"/>
                <w:sz w:val="18"/>
                <w:szCs w:val="18"/>
                <w:lang w:val="en-US" w:eastAsia="zh-CN"/>
              </w:rPr>
              <w:t>4</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default"/>
                <w:sz w:val="18"/>
                <w:szCs w:val="18"/>
                <w:highlight w:val="none"/>
              </w:rPr>
            </w:pPr>
            <w:r>
              <w:rPr>
                <w:rFonts w:hint="eastAsia" w:ascii="宋体" w:hAnsi="宋体" w:cs="宋体"/>
                <w:b w:val="0"/>
                <w:bCs/>
                <w:color w:val="auto"/>
                <w:kern w:val="0"/>
                <w:sz w:val="18"/>
                <w:szCs w:val="18"/>
                <w:lang w:val="en-US" w:eastAsia="zh-CN" w:bidi="ar"/>
              </w:rPr>
              <w:t>职业健康安全管理制度及运行情况</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rPr>
                <w:rFonts w:hint="eastAsia" w:hAnsi="宋体"/>
                <w:sz w:val="18"/>
                <w:szCs w:val="18"/>
              </w:rPr>
            </w:pPr>
            <w:r>
              <w:rPr>
                <w:rFonts w:hint="eastAsia" w:ascii="宋体" w:hAnsi="宋体" w:cs="宋体"/>
                <w:b w:val="0"/>
                <w:bCs/>
                <w:color w:val="auto"/>
                <w:sz w:val="18"/>
                <w:szCs w:val="18"/>
                <w:lang w:val="en-US" w:eastAsia="zh-CN" w:bidi="ar"/>
              </w:rPr>
              <w:t>建立职业健康安全管理体系，并有效运行。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6"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eastAsia="zh-CN"/>
              </w:rPr>
            </w:pPr>
            <w:r>
              <w:rPr>
                <w:rFonts w:hint="eastAsia"/>
                <w:sz w:val="18"/>
                <w:szCs w:val="18"/>
                <w:lang w:val="en-US" w:eastAsia="zh-CN"/>
              </w:rPr>
              <w:t>5</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sz w:val="18"/>
                <w:szCs w:val="18"/>
                <w:highlight w:val="none"/>
              </w:rPr>
            </w:pPr>
            <w:r>
              <w:rPr>
                <w:rFonts w:hint="eastAsia" w:ascii="宋体" w:hAnsi="宋体" w:cs="宋体"/>
                <w:kern w:val="0"/>
                <w:sz w:val="18"/>
                <w:szCs w:val="18"/>
                <w:lang w:bidi="ar"/>
              </w:rPr>
              <w:t>环境应急预案</w:t>
            </w:r>
            <w:r>
              <w:rPr>
                <w:rFonts w:hint="eastAsia" w:ascii="宋体" w:hAnsi="宋体" w:cs="宋体"/>
                <w:color w:val="000000"/>
                <w:kern w:val="0"/>
                <w:sz w:val="18"/>
                <w:szCs w:val="18"/>
                <w:vertAlign w:val="superscript"/>
                <w:lang w:bidi="ar"/>
              </w:rPr>
              <w:t>*</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r>
              <w:rPr>
                <w:rFonts w:hint="eastAsia" w:ascii="宋体" w:hAnsi="宋体" w:cs="宋体"/>
                <w:kern w:val="0"/>
                <w:sz w:val="18"/>
                <w:szCs w:val="18"/>
                <w:lang w:bidi="ar"/>
              </w:rPr>
              <w:t>0.10</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top"/>
          </w:tcPr>
          <w:p>
            <w:pPr>
              <w:keepNext w:val="0"/>
              <w:keepLines w:val="0"/>
              <w:suppressLineNumbers w:val="0"/>
              <w:bidi w:val="0"/>
              <w:spacing w:before="0" w:beforeAutospacing="0" w:after="0" w:afterAutospacing="0"/>
              <w:ind w:left="0" w:right="0"/>
              <w:rPr>
                <w:rFonts w:hint="eastAsia" w:hAnsi="宋体"/>
                <w:color w:val="000000"/>
                <w:szCs w:val="18"/>
              </w:rPr>
            </w:pPr>
            <w:r>
              <w:rPr>
                <w:rFonts w:hint="eastAsia"/>
                <w:sz w:val="18"/>
                <w:szCs w:val="18"/>
              </w:rPr>
              <w:t>按照国家相关规定要求、《突发环境事件应急预案管理暂行办法》，建立健全环境管理制度及污染事故防范措施，制定意外事故的应急预案，开展重大环境污染事故应急演练，建立重大事故应急预警机制，应急预案必须经过评审备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eastAsia="zh-CN"/>
              </w:rPr>
            </w:pPr>
            <w:r>
              <w:rPr>
                <w:rFonts w:hint="eastAsia"/>
                <w:sz w:val="18"/>
                <w:szCs w:val="18"/>
                <w:lang w:val="en-US" w:eastAsia="zh-CN"/>
              </w:rPr>
              <w:t>6</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default"/>
                <w:sz w:val="18"/>
                <w:szCs w:val="18"/>
              </w:rPr>
            </w:pPr>
            <w:r>
              <w:rPr>
                <w:rFonts w:hint="eastAsia" w:ascii="宋体" w:hAnsi="宋体" w:cs="宋体"/>
                <w:kern w:val="0"/>
                <w:sz w:val="18"/>
                <w:szCs w:val="18"/>
                <w:lang w:bidi="ar"/>
              </w:rPr>
              <w:t>废物管理</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r>
              <w:rPr>
                <w:rFonts w:hint="eastAsia" w:ascii="宋体" w:hAnsi="宋体" w:cs="宋体"/>
                <w:kern w:val="0"/>
                <w:sz w:val="18"/>
                <w:szCs w:val="18"/>
                <w:lang w:bidi="ar"/>
              </w:rPr>
              <w:t>0.10</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left"/>
              <w:rPr>
                <w:rFonts w:hint="eastAsia" w:hAnsi="宋体" w:eastAsia="宋体"/>
                <w:sz w:val="18"/>
                <w:szCs w:val="18"/>
                <w:lang w:val="en-US" w:eastAsia="zh-CN"/>
              </w:rPr>
            </w:pPr>
            <w:r>
              <w:rPr>
                <w:rFonts w:hint="eastAsia" w:ascii="宋体" w:hAnsi="宋体" w:cs="宋体"/>
                <w:color w:val="000000"/>
                <w:kern w:val="0"/>
                <w:sz w:val="18"/>
                <w:szCs w:val="18"/>
                <w:lang w:bidi="ar"/>
              </w:rPr>
              <w:t>根据《国家危险废物名录》的相关要求，危险废物的贮存严格按照GB 18597相关规定执行，对危险废物进行有效归集、贮存，并应交由持有危险废物经营许可证的单位处置</w:t>
            </w:r>
            <w:r>
              <w:rPr>
                <w:rFonts w:hint="eastAsia" w:hAnsi="宋体" w:cs="宋体"/>
                <w:color w:val="000000"/>
                <w:kern w:val="0"/>
                <w:sz w:val="18"/>
                <w:szCs w:val="18"/>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eastAsia="zh-CN"/>
              </w:rPr>
            </w:pPr>
            <w:r>
              <w:rPr>
                <w:rFonts w:hint="eastAsia"/>
                <w:sz w:val="18"/>
                <w:szCs w:val="18"/>
                <w:lang w:val="en-US" w:eastAsia="zh-CN"/>
              </w:rPr>
              <w:t>7</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default"/>
                <w:sz w:val="18"/>
                <w:szCs w:val="18"/>
              </w:rPr>
            </w:pPr>
            <w:r>
              <w:rPr>
                <w:rFonts w:hint="eastAsia" w:ascii="宋体" w:hAnsi="宋体" w:cs="宋体"/>
                <w:kern w:val="0"/>
                <w:sz w:val="18"/>
                <w:szCs w:val="18"/>
                <w:lang w:bidi="ar"/>
              </w:rPr>
              <w:t>危险化学品管理</w:t>
            </w:r>
            <w:r>
              <w:rPr>
                <w:rFonts w:hint="eastAsia" w:ascii="宋体" w:hAnsi="宋体" w:cs="宋体"/>
                <w:color w:val="000000"/>
                <w:kern w:val="0"/>
                <w:sz w:val="18"/>
                <w:szCs w:val="18"/>
                <w:vertAlign w:val="superscript"/>
                <w:lang w:bidi="ar"/>
              </w:rPr>
              <w:t>*</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default"/>
                <w:sz w:val="18"/>
                <w:szCs w:val="18"/>
              </w:rPr>
            </w:pPr>
            <w:r>
              <w:rPr>
                <w:rFonts w:hint="eastAsia" w:ascii="宋体" w:hAnsi="宋体" w:cs="宋体"/>
                <w:kern w:val="0"/>
                <w:sz w:val="18"/>
                <w:szCs w:val="18"/>
                <w:lang w:bidi="ar"/>
              </w:rPr>
              <w:t>0.10</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50" w:beforeAutospacing="0" w:after="50" w:afterAutospacing="0"/>
              <w:ind w:left="0" w:right="0" w:firstLine="0" w:firstLineChars="0"/>
              <w:jc w:val="left"/>
              <w:rPr>
                <w:rFonts w:hint="eastAsia" w:hAnsi="宋体" w:eastAsia="宋体"/>
                <w:sz w:val="18"/>
                <w:szCs w:val="18"/>
                <w:lang w:eastAsia="zh-CN"/>
              </w:rPr>
            </w:pPr>
            <w:r>
              <w:rPr>
                <w:rFonts w:hint="eastAsia" w:ascii="宋体" w:hAnsi="宋体" w:cs="宋体"/>
                <w:color w:val="000000"/>
                <w:kern w:val="0"/>
                <w:sz w:val="18"/>
                <w:szCs w:val="18"/>
                <w:lang w:bidi="ar"/>
              </w:rPr>
              <w:t>符合《危险化学品安全管理条例》相关要求</w:t>
            </w:r>
            <w:r>
              <w:rPr>
                <w:rFonts w:hint="eastAsia" w:hAnsi="宋体" w:cs="宋体"/>
                <w:color w:val="000000"/>
                <w:kern w:val="0"/>
                <w:sz w:val="18"/>
                <w:szCs w:val="18"/>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eastAsia="zh-CN"/>
              </w:rPr>
            </w:pPr>
            <w:r>
              <w:rPr>
                <w:rFonts w:hint="eastAsia"/>
                <w:sz w:val="18"/>
                <w:szCs w:val="18"/>
                <w:lang w:val="en-US" w:eastAsia="zh-CN"/>
              </w:rPr>
              <w:t>8</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sz w:val="18"/>
                <w:szCs w:val="18"/>
              </w:rPr>
            </w:pPr>
            <w:r>
              <w:rPr>
                <w:rFonts w:hint="eastAsia" w:ascii="宋体" w:hAnsi="宋体" w:cs="宋体"/>
                <w:kern w:val="0"/>
                <w:sz w:val="18"/>
                <w:szCs w:val="18"/>
                <w:lang w:bidi="ar"/>
              </w:rPr>
              <w:t>节能</w:t>
            </w:r>
            <w:r>
              <w:rPr>
                <w:rFonts w:hint="eastAsia" w:ascii="宋体" w:hAnsi="宋体" w:cs="宋体"/>
                <w:kern w:val="0"/>
                <w:sz w:val="18"/>
                <w:szCs w:val="18"/>
                <w:lang w:val="en-US" w:eastAsia="zh-CN" w:bidi="ar"/>
              </w:rPr>
              <w:t>减排</w:t>
            </w:r>
            <w:r>
              <w:rPr>
                <w:rFonts w:hint="eastAsia" w:ascii="宋体" w:hAnsi="宋体" w:cs="宋体"/>
                <w:kern w:val="0"/>
                <w:sz w:val="18"/>
                <w:szCs w:val="18"/>
                <w:lang w:bidi="ar"/>
              </w:rPr>
              <w:t>管理</w:t>
            </w:r>
            <w:r>
              <w:rPr>
                <w:rFonts w:hint="eastAsia" w:ascii="宋体" w:hAnsi="宋体" w:cs="宋体"/>
                <w:kern w:val="0"/>
                <w:sz w:val="18"/>
                <w:szCs w:val="18"/>
                <w:lang w:val="en-US" w:eastAsia="zh-CN" w:bidi="ar"/>
              </w:rPr>
              <w:t>制度及执行情况</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eastAsia"/>
                <w:sz w:val="18"/>
                <w:szCs w:val="18"/>
              </w:rPr>
            </w:pPr>
            <w:r>
              <w:rPr>
                <w:rFonts w:hint="eastAsia" w:ascii="宋体" w:hAnsi="宋体" w:cs="宋体"/>
                <w:kern w:val="0"/>
                <w:sz w:val="18"/>
                <w:szCs w:val="18"/>
                <w:lang w:bidi="ar"/>
              </w:rPr>
              <w:t>0.10</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jc w:val="left"/>
              <w:rPr>
                <w:rFonts w:hint="eastAsia" w:hAnsi="宋体" w:eastAsia="宋体"/>
                <w:sz w:val="18"/>
                <w:szCs w:val="18"/>
                <w:lang w:eastAsia="zh-CN"/>
              </w:rPr>
            </w:pPr>
            <w:r>
              <w:rPr>
                <w:rFonts w:hint="eastAsia" w:ascii="宋体" w:hAnsi="宋体" w:cs="宋体"/>
                <w:kern w:val="0"/>
                <w:sz w:val="18"/>
                <w:szCs w:val="18"/>
                <w:lang w:bidi="ar"/>
              </w:rPr>
              <w:t>建立节能减排管理制度，具可操作性，</w:t>
            </w:r>
            <w:r>
              <w:rPr>
                <w:rFonts w:hint="eastAsia" w:ascii="宋体" w:hAnsi="宋体" w:cs="宋体"/>
                <w:kern w:val="0"/>
                <w:sz w:val="18"/>
                <w:szCs w:val="18"/>
                <w:lang w:val="en-US" w:eastAsia="zh-CN" w:bidi="ar"/>
              </w:rPr>
              <w:t>并</w:t>
            </w:r>
            <w:r>
              <w:rPr>
                <w:rFonts w:hint="eastAsia" w:ascii="宋体" w:hAnsi="宋体" w:cs="宋体"/>
                <w:kern w:val="0"/>
                <w:sz w:val="18"/>
                <w:szCs w:val="18"/>
                <w:lang w:bidi="ar"/>
              </w:rPr>
              <w:t>有效运行。有定期检查目标实现情况及规章制度执行情况的记录</w:t>
            </w:r>
            <w:r>
              <w:rPr>
                <w:rFonts w:hint="eastAsia" w:hAnsi="宋体" w:cs="宋体"/>
                <w:kern w:val="0"/>
                <w:sz w:val="18"/>
                <w:szCs w:val="18"/>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eastAsia="宋体"/>
                <w:sz w:val="18"/>
                <w:szCs w:val="18"/>
                <w:lang w:val="en-US" w:eastAsia="zh-CN"/>
              </w:rPr>
            </w:pPr>
            <w:r>
              <w:rPr>
                <w:rFonts w:hint="eastAsia"/>
                <w:sz w:val="18"/>
                <w:szCs w:val="18"/>
                <w:lang w:val="en-US" w:eastAsia="zh-CN"/>
              </w:rPr>
              <w:t>9</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ascii="宋体" w:hAnsi="宋体" w:cs="宋体"/>
                <w:kern w:val="0"/>
                <w:sz w:val="18"/>
                <w:szCs w:val="18"/>
                <w:lang w:bidi="ar"/>
              </w:rPr>
            </w:pPr>
            <w:r>
              <w:rPr>
                <w:rFonts w:hint="eastAsia" w:ascii="宋体" w:hAnsi="宋体" w:cs="宋体"/>
                <w:kern w:val="0"/>
                <w:sz w:val="18"/>
                <w:szCs w:val="18"/>
                <w:lang w:bidi="ar"/>
              </w:rPr>
              <w:t>清洁生产管理制度</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eastAsia" w:ascii="宋体" w:hAnsi="宋体" w:cs="宋体"/>
                <w:kern w:val="0"/>
                <w:sz w:val="18"/>
                <w:szCs w:val="18"/>
                <w:lang w:bidi="ar"/>
              </w:rPr>
            </w:pPr>
            <w:r>
              <w:rPr>
                <w:rFonts w:hint="eastAsia" w:ascii="宋体" w:hAnsi="宋体" w:cs="宋体"/>
                <w:kern w:val="0"/>
                <w:sz w:val="18"/>
                <w:szCs w:val="18"/>
                <w:lang w:bidi="ar"/>
              </w:rPr>
              <w:t>0.10</w:t>
            </w:r>
          </w:p>
        </w:tc>
        <w:tc>
          <w:tcPr>
            <w:tcW w:w="3053" w:type="pct"/>
            <w:gridSpan w:val="6"/>
            <w:tcBorders>
              <w:top w:val="single" w:color="000000" w:sz="4" w:space="0"/>
              <w:left w:val="single" w:color="000000" w:sz="4" w:space="0"/>
              <w:bottom w:val="single" w:color="000000" w:sz="4"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jc w:val="left"/>
              <w:rPr>
                <w:rFonts w:hint="eastAsia" w:hAnsi="宋体" w:eastAsia="宋体" w:cs="宋体"/>
                <w:color w:val="000000"/>
                <w:sz w:val="18"/>
                <w:szCs w:val="18"/>
                <w:lang w:val="en-US" w:eastAsia="zh-CN"/>
              </w:rPr>
            </w:pPr>
            <w:r>
              <w:rPr>
                <w:rFonts w:hint="eastAsia" w:ascii="宋体" w:hAnsi="宋体" w:cs="宋体"/>
                <w:kern w:val="0"/>
                <w:sz w:val="18"/>
                <w:szCs w:val="18"/>
                <w:lang w:bidi="ar"/>
              </w:rPr>
              <w:t>建立完善的清洁生产管理制度并严格执行</w:t>
            </w:r>
            <w:r>
              <w:rPr>
                <w:rFonts w:hint="eastAsia" w:hAnsi="宋体" w:cs="宋体"/>
                <w:kern w:val="0"/>
                <w:sz w:val="18"/>
                <w:szCs w:val="18"/>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4" w:hRule="atLeast"/>
        </w:trPr>
        <w:tc>
          <w:tcPr>
            <w:tcW w:w="166" w:type="pct"/>
            <w:tcBorders>
              <w:top w:val="single" w:color="000000" w:sz="4" w:space="0"/>
              <w:left w:val="single" w:color="000000" w:sz="12"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default"/>
                <w:sz w:val="18"/>
                <w:szCs w:val="18"/>
                <w:lang w:val="en-US" w:eastAsia="zh-CN"/>
              </w:rPr>
            </w:pPr>
            <w:r>
              <w:rPr>
                <w:rFonts w:hint="eastAsia"/>
                <w:sz w:val="18"/>
                <w:szCs w:val="18"/>
                <w:lang w:val="en-US" w:eastAsia="zh-CN"/>
              </w:rPr>
              <w:t>10</w:t>
            </w:r>
          </w:p>
        </w:tc>
        <w:tc>
          <w:tcPr>
            <w:tcW w:w="256"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261"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24"/>
              <w:keepNext w:val="0"/>
              <w:keepLines w:val="0"/>
              <w:widowControl/>
              <w:suppressLineNumbers w:val="0"/>
              <w:spacing w:before="0" w:beforeAutospacing="0" w:after="0" w:afterAutospacing="0"/>
              <w:ind w:left="0" w:right="0" w:firstLine="0" w:firstLineChars="0"/>
              <w:jc w:val="center"/>
              <w:rPr>
                <w:rFonts w:hint="eastAsia"/>
                <w:sz w:val="18"/>
                <w:szCs w:val="18"/>
              </w:rPr>
            </w:pPr>
          </w:p>
        </w:tc>
        <w:tc>
          <w:tcPr>
            <w:tcW w:w="810"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63" w:beforeLines="20" w:after="63" w:afterLines="20" w:line="240" w:lineRule="exact"/>
              <w:ind w:left="0" w:right="0"/>
              <w:jc w:val="center"/>
              <w:rPr>
                <w:rFonts w:hint="eastAsia" w:ascii="宋体" w:hAnsi="宋体" w:cs="宋体"/>
                <w:kern w:val="0"/>
                <w:sz w:val="18"/>
                <w:szCs w:val="18"/>
                <w:lang w:bidi="ar"/>
              </w:rPr>
            </w:pPr>
            <w:r>
              <w:rPr>
                <w:rFonts w:hint="eastAsia" w:ascii="宋体" w:hAnsi="宋体" w:cs="宋体"/>
                <w:kern w:val="0"/>
                <w:sz w:val="18"/>
                <w:szCs w:val="18"/>
                <w:lang w:bidi="ar"/>
              </w:rPr>
              <w:t>清洁生产审核制度执行情况</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pPr>
              <w:pStyle w:val="31"/>
              <w:keepNext w:val="0"/>
              <w:keepLines w:val="0"/>
              <w:widowControl/>
              <w:suppressLineNumbers w:val="0"/>
              <w:autoSpaceDE w:val="0"/>
              <w:autoSpaceDN w:val="0"/>
              <w:spacing w:before="95" w:beforeLines="30" w:after="95" w:afterLines="30"/>
              <w:ind w:left="0" w:right="0"/>
              <w:jc w:val="center"/>
              <w:rPr>
                <w:rFonts w:hint="eastAsia" w:ascii="宋体" w:hAnsi="宋体" w:cs="宋体"/>
                <w:kern w:val="0"/>
                <w:sz w:val="18"/>
                <w:szCs w:val="18"/>
                <w:lang w:bidi="ar"/>
              </w:rPr>
            </w:pPr>
            <w:r>
              <w:rPr>
                <w:rFonts w:hint="eastAsia" w:ascii="宋体" w:hAnsi="宋体" w:cs="宋体"/>
                <w:kern w:val="0"/>
                <w:sz w:val="18"/>
                <w:szCs w:val="18"/>
                <w:lang w:bidi="ar"/>
              </w:rPr>
              <w:t>0.10</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kern w:val="2"/>
                <w:sz w:val="18"/>
                <w:szCs w:val="18"/>
                <w:lang w:val="en-US" w:eastAsia="zh-CN" w:bidi="ar-SA"/>
              </w:rPr>
            </w:pPr>
            <w:r>
              <w:rPr>
                <w:rFonts w:hint="eastAsia" w:ascii="宋体" w:hAnsi="宋体" w:cs="宋体"/>
                <w:kern w:val="0"/>
                <w:sz w:val="18"/>
                <w:szCs w:val="18"/>
                <w:lang w:bidi="ar"/>
              </w:rPr>
              <w:t>根据《清洁生产促进法》和《清洁生产审核办法》，按照</w:t>
            </w:r>
            <w:r>
              <w:rPr>
                <w:rFonts w:hint="eastAsia" w:ascii="宋体" w:hAnsi="宋体" w:cs="宋体"/>
                <w:sz w:val="18"/>
                <w:szCs w:val="18"/>
                <w:lang w:bidi="ar"/>
              </w:rPr>
              <w:t>GB/T 25973</w:t>
            </w:r>
            <w:r>
              <w:rPr>
                <w:rFonts w:hint="eastAsia" w:ascii="宋体" w:hAnsi="宋体" w:cs="宋体"/>
                <w:kern w:val="0"/>
                <w:sz w:val="18"/>
                <w:szCs w:val="18"/>
                <w:lang w:bidi="ar"/>
              </w:rPr>
              <w:t>定期开展清洁生产审核活动，清洁生产方案实施率≥90%；有开展清洁生产工作记录。</w:t>
            </w:r>
          </w:p>
        </w:tc>
        <w:tc>
          <w:tcPr>
            <w:tcW w:w="961"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kern w:val="2"/>
                <w:sz w:val="18"/>
                <w:szCs w:val="18"/>
                <w:lang w:val="en-US" w:eastAsia="zh-CN" w:bidi="ar-SA"/>
              </w:rPr>
            </w:pPr>
            <w:r>
              <w:rPr>
                <w:rFonts w:hint="eastAsia" w:ascii="宋体" w:hAnsi="宋体" w:cs="宋体"/>
                <w:kern w:val="0"/>
                <w:sz w:val="18"/>
                <w:szCs w:val="18"/>
                <w:lang w:bidi="ar"/>
              </w:rPr>
              <w:t>根据《清洁生产促进法》和《清洁生产审核办法》，按照</w:t>
            </w:r>
            <w:r>
              <w:rPr>
                <w:rFonts w:hint="eastAsia" w:ascii="宋体" w:hAnsi="宋体" w:cs="宋体"/>
                <w:sz w:val="18"/>
                <w:szCs w:val="18"/>
                <w:lang w:bidi="ar"/>
              </w:rPr>
              <w:t>GB/T 25973</w:t>
            </w:r>
            <w:r>
              <w:rPr>
                <w:rFonts w:hint="eastAsia" w:ascii="宋体" w:hAnsi="宋体" w:cs="宋体"/>
                <w:kern w:val="0"/>
                <w:sz w:val="18"/>
                <w:szCs w:val="18"/>
                <w:lang w:bidi="ar"/>
              </w:rPr>
              <w:t>定期开展清洁生产审核活动，清洁生产方案实施率≥70%；有开展清洁生产工作记录。</w:t>
            </w:r>
          </w:p>
        </w:tc>
        <w:tc>
          <w:tcPr>
            <w:tcW w:w="989" w:type="pct"/>
            <w:gridSpan w:val="2"/>
            <w:tcBorders>
              <w:top w:val="single" w:color="000000" w:sz="4" w:space="0"/>
              <w:left w:val="single" w:color="000000" w:sz="4" w:space="0"/>
              <w:bottom w:val="single" w:color="000000" w:sz="4" w:space="0"/>
              <w:right w:val="single" w:color="000000" w:sz="12" w:space="0"/>
            </w:tcBorders>
            <w:noWrap w:val="0"/>
            <w:vAlign w:val="center"/>
          </w:tcPr>
          <w:p>
            <w:pPr>
              <w:keepNext w:val="0"/>
              <w:keepLines w:val="0"/>
              <w:widowControl/>
              <w:suppressLineNumbers w:val="0"/>
              <w:adjustRightInd w:val="0"/>
              <w:snapToGrid w:val="0"/>
              <w:spacing w:before="63" w:beforeLines="20" w:beforeAutospacing="0" w:after="127" w:afterLines="40" w:afterAutospacing="0"/>
              <w:ind w:left="0" w:right="0"/>
              <w:rPr>
                <w:rFonts w:hint="eastAsia" w:ascii="宋体" w:hAnsi="宋体" w:eastAsia="宋体" w:cs="宋体"/>
                <w:kern w:val="2"/>
                <w:sz w:val="18"/>
                <w:szCs w:val="18"/>
                <w:lang w:val="en-US" w:eastAsia="zh-CN" w:bidi="ar-SA"/>
              </w:rPr>
            </w:pPr>
            <w:r>
              <w:rPr>
                <w:rFonts w:hint="eastAsia" w:ascii="宋体" w:hAnsi="宋体" w:cs="宋体"/>
                <w:kern w:val="0"/>
                <w:sz w:val="18"/>
                <w:szCs w:val="18"/>
                <w:lang w:bidi="ar"/>
              </w:rPr>
              <w:t>定期开展清洁生产审核活动，清洁生产方案实施率≥50%；有开展清洁生产工作记录。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5000" w:type="pct"/>
            <w:gridSpan w:val="11"/>
            <w:tcBorders>
              <w:top w:val="single" w:color="000000" w:sz="4" w:space="0"/>
              <w:left w:val="single" w:color="000000" w:sz="12" w:space="0"/>
              <w:bottom w:val="single" w:color="000000" w:sz="12" w:space="0"/>
              <w:right w:val="single" w:color="000000" w:sz="12" w:space="0"/>
            </w:tcBorders>
            <w:noWrap w:val="0"/>
            <w:vAlign w:val="center"/>
          </w:tcPr>
          <w:p>
            <w:pPr>
              <w:pStyle w:val="24"/>
              <w:keepNext w:val="0"/>
              <w:keepLines w:val="0"/>
              <w:widowControl/>
              <w:suppressLineNumbers w:val="0"/>
              <w:spacing w:before="0" w:beforeAutospacing="0" w:after="0" w:afterAutospacing="0"/>
              <w:ind w:left="0" w:right="0" w:firstLine="0" w:firstLineChars="0"/>
              <w:jc w:val="left"/>
              <w:rPr>
                <w:rFonts w:hint="eastAsia" w:ascii="宋体" w:hAnsi="宋体" w:cs="宋体"/>
                <w:kern w:val="0"/>
                <w:sz w:val="18"/>
                <w:szCs w:val="18"/>
                <w:lang w:bidi="ar"/>
              </w:rPr>
            </w:pPr>
            <w:r>
              <w:rPr>
                <w:rFonts w:hint="eastAsia" w:ascii="宋体" w:hAnsi="宋体" w:cs="宋体"/>
                <w:kern w:val="0"/>
                <w:sz w:val="18"/>
                <w:szCs w:val="18"/>
                <w:lang w:bidi="ar"/>
              </w:rPr>
              <w:t>标注</w:t>
            </w:r>
            <w:r>
              <w:rPr>
                <w:rFonts w:hint="default"/>
                <w:color w:val="000000"/>
                <w:kern w:val="0"/>
                <w:sz w:val="18"/>
                <w:szCs w:val="18"/>
                <w:vertAlign w:val="superscript"/>
                <w:lang w:bidi="ar"/>
              </w:rPr>
              <w:t>*</w:t>
            </w:r>
            <w:r>
              <w:rPr>
                <w:rFonts w:hint="eastAsia" w:hAnsi="宋体" w:cs="宋体"/>
                <w:color w:val="000000"/>
                <w:kern w:val="0"/>
                <w:sz w:val="18"/>
                <w:szCs w:val="18"/>
                <w:vertAlign w:val="superscript"/>
                <w:lang w:bidi="ar"/>
              </w:rPr>
              <w:t> </w:t>
            </w:r>
            <w:r>
              <w:rPr>
                <w:rFonts w:hint="eastAsia" w:ascii="宋体" w:hAnsi="宋体" w:cs="宋体"/>
                <w:kern w:val="0"/>
                <w:sz w:val="18"/>
                <w:szCs w:val="18"/>
                <w:lang w:bidi="ar"/>
              </w:rPr>
              <w:t>的指标为限定性指标。</w:t>
            </w:r>
          </w:p>
        </w:tc>
      </w:tr>
    </w:tbl>
    <w:p>
      <w:pPr>
        <w:pStyle w:val="24"/>
        <w:spacing w:before="156" w:beforeLines="50" w:after="156" w:afterLines="50"/>
        <w:jc w:val="both"/>
        <w:rPr>
          <w:rFonts w:hint="eastAsia" w:ascii="黑体" w:hAnsi="黑体" w:eastAsia="黑体"/>
        </w:rPr>
        <w:sectPr>
          <w:pgSz w:w="16838" w:h="11906" w:orient="landscape"/>
          <w:pgMar w:top="1418" w:right="567" w:bottom="1134" w:left="1134" w:header="1418" w:footer="1134" w:gutter="0"/>
          <w:pgBorders>
            <w:top w:val="none" w:sz="0" w:space="0"/>
            <w:left w:val="none" w:sz="0" w:space="0"/>
            <w:bottom w:val="none" w:sz="0" w:space="0"/>
            <w:right w:val="none" w:sz="0" w:space="0"/>
          </w:pgBorders>
          <w:cols w:space="720" w:num="1"/>
          <w:formProt w:val="0"/>
          <w:docGrid w:type="lines" w:linePitch="312" w:charSpace="0"/>
        </w:sectPr>
      </w:pPr>
    </w:p>
    <w:p>
      <w:pPr>
        <w:pStyle w:val="49"/>
        <w:numPr>
          <w:ilvl w:val="0"/>
          <w:numId w:val="0"/>
        </w:numPr>
        <w:ind w:leftChars="0"/>
      </w:pPr>
      <w:bookmarkStart w:id="9" w:name="_Toc512129323"/>
      <w:r>
        <w:rPr>
          <w:rFonts w:hint="eastAsia"/>
          <w:lang w:val="en-US" w:eastAsia="zh-CN"/>
        </w:rPr>
        <w:t xml:space="preserve">5  </w:t>
      </w:r>
      <w:r>
        <w:rPr>
          <w:rFonts w:hint="eastAsia" w:ascii="黑体" w:eastAsia="黑体"/>
        </w:rPr>
        <w:t>评价</w:t>
      </w:r>
      <w:bookmarkEnd w:id="9"/>
      <w:r>
        <w:rPr>
          <w:rFonts w:hint="eastAsia" w:ascii="黑体" w:eastAsia="黑体"/>
        </w:rPr>
        <w:t>方法</w:t>
      </w:r>
    </w:p>
    <w:p>
      <w:pPr>
        <w:pStyle w:val="66"/>
        <w:numPr>
          <w:ilvl w:val="1"/>
          <w:numId w:val="0"/>
        </w:numPr>
        <w:ind w:leftChars="0"/>
      </w:pPr>
      <w:r>
        <w:rPr>
          <w:rFonts w:hint="eastAsia"/>
          <w:lang w:val="en-US" w:eastAsia="zh-CN"/>
        </w:rPr>
        <w:t xml:space="preserve">5.1  </w:t>
      </w:r>
      <w:r>
        <w:rPr>
          <w:rFonts w:hint="eastAsia" w:ascii="黑体" w:eastAsia="黑体"/>
        </w:rPr>
        <w:t>评价原则</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420" w:firstLineChars="200"/>
        <w:textAlignment w:val="auto"/>
        <w:rPr>
          <w:color w:val="auto"/>
        </w:rPr>
      </w:pPr>
      <w:r>
        <w:rPr>
          <w:rFonts w:hint="eastAsia" w:hAnsi="宋体"/>
          <w:color w:val="auto"/>
          <w:szCs w:val="21"/>
          <w:lang w:eastAsia="zh-CN"/>
        </w:rPr>
        <w:t>本</w:t>
      </w:r>
      <w:r>
        <w:rPr>
          <w:rFonts w:hint="eastAsia" w:hAnsi="宋体"/>
          <w:color w:val="auto"/>
          <w:szCs w:val="21"/>
          <w:lang w:val="en-US" w:eastAsia="zh-CN"/>
        </w:rPr>
        <w:t>文件</w:t>
      </w:r>
      <w:r>
        <w:rPr>
          <w:rFonts w:hint="eastAsia" w:hAnsi="宋体"/>
          <w:color w:val="auto"/>
          <w:szCs w:val="21"/>
          <w:lang w:eastAsia="zh-CN"/>
        </w:rPr>
        <w:t>采用限定性指标评价和指标分级加权评价相结合的方法。对首饰加工企业清洁生产水平的评估，是以其清洁生产综合评价指数为依据的，根据综合评价指数，确定清洁生产水平等级。</w:t>
      </w:r>
      <w:bookmarkStart w:id="10" w:name="_Toc506106849"/>
      <w:bookmarkEnd w:id="10"/>
    </w:p>
    <w:p>
      <w:pPr>
        <w:pStyle w:val="66"/>
        <w:numPr>
          <w:ilvl w:val="1"/>
          <w:numId w:val="0"/>
        </w:numPr>
        <w:ind w:leftChars="0"/>
        <w:rPr>
          <w:rFonts w:hint="eastAsia"/>
        </w:rPr>
      </w:pPr>
      <w:r>
        <w:rPr>
          <w:rFonts w:hint="eastAsia"/>
          <w:lang w:val="en-US" w:eastAsia="zh-CN"/>
        </w:rPr>
        <w:t xml:space="preserve">5.2  </w:t>
      </w:r>
      <w:r>
        <w:rPr>
          <w:rFonts w:hint="eastAsia" w:ascii="黑体" w:eastAsia="黑体"/>
        </w:rPr>
        <w:t>指标计算方法</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default" w:ascii="黑体" w:hAnsi="黑体" w:eastAsia="宋体" w:cs="黑体"/>
          <w:lang w:val="en-US" w:eastAsia="zh-CN"/>
        </w:rPr>
      </w:pPr>
      <w:r>
        <w:rPr>
          <w:rFonts w:hint="eastAsia" w:ascii="黑体" w:hAnsi="黑体" w:eastAsia="黑体" w:cs="黑体"/>
          <w:lang w:val="en-US" w:eastAsia="zh-CN"/>
        </w:rPr>
        <w:t>5.2.1</w:t>
      </w:r>
      <w:r>
        <w:rPr>
          <w:rFonts w:hint="eastAsia" w:hAnsi="黑体" w:cs="黑体"/>
          <w:lang w:val="en-US" w:eastAsia="zh-CN"/>
        </w:rPr>
        <w:t xml:space="preserve">  </w:t>
      </w:r>
      <w:bookmarkStart w:id="11" w:name="_Toc512129324"/>
      <w:r>
        <w:rPr>
          <w:rFonts w:hint="eastAsia" w:ascii="黑体" w:eastAsia="黑体"/>
        </w:rPr>
        <w:t>指标无量纲化</w:t>
      </w:r>
      <w:bookmarkEnd w:id="11"/>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rPr>
        <w:t>不同清洁生产指标由于量纲不同，不能直接比较，需要建立原始指标的隶属函数，</w:t>
      </w:r>
      <w:r>
        <w:rPr>
          <w:rFonts w:hint="eastAsia"/>
          <w:szCs w:val="21"/>
        </w:rPr>
        <w:t>如公式（5-1）所示。若指标x</w:t>
      </w:r>
      <w:r>
        <w:rPr>
          <w:rFonts w:hint="eastAsia"/>
          <w:szCs w:val="21"/>
          <w:vertAlign w:val="subscript"/>
        </w:rPr>
        <w:t>ij</w:t>
      </w:r>
      <w:r>
        <w:rPr>
          <w:rFonts w:hint="eastAsia"/>
          <w:szCs w:val="21"/>
        </w:rPr>
        <w:t>属于级别g</w:t>
      </w:r>
      <w:r>
        <w:rPr>
          <w:rFonts w:hint="eastAsia"/>
          <w:szCs w:val="21"/>
          <w:vertAlign w:val="subscript"/>
        </w:rPr>
        <w:t>k</w:t>
      </w:r>
      <w:r>
        <w:rPr>
          <w:rFonts w:hint="eastAsia"/>
          <w:szCs w:val="21"/>
        </w:rPr>
        <w:t>，则函数的值为100，否则为0</w:t>
      </w:r>
      <w:r>
        <w:rPr>
          <w:rFonts w:hint="eastAsia"/>
          <w:szCs w:val="21"/>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int="eastAsia"/>
          <w:lang w:val="en-US" w:eastAsia="zh-CN"/>
        </w:rPr>
        <w:t xml:space="preserve">                           </w:t>
      </w:r>
      <w:r>
        <w:fldChar w:fldCharType="begin"/>
      </w:r>
      <w:r>
        <w:instrText xml:space="preserve"> QUOTE </w:instrText>
      </w:r>
      <w:r>
        <w:rPr>
          <w:rFonts w:hint="eastAsia"/>
          <w:position w:val="-24"/>
        </w:rPr>
        <w:pict>
          <v:shape id="_x0000_i1025"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m:oMath>
        <m:sSub>
          <m:sSubPr>
            <m:ctrlPr>
              <w:rPr>
                <w:rFonts w:ascii="Cambria Math"/>
                <w:i/>
                <w:szCs w:val="21"/>
              </w:rPr>
            </m:ctrlPr>
          </m:sSubPr>
          <m:e>
            <m:sSub>
              <m:sSubPr>
                <m:ctrlPr>
                  <w:rPr>
                    <w:rFonts w:ascii="Cambria Math"/>
                    <w:i/>
                    <w:szCs w:val="21"/>
                  </w:rPr>
                </m:ctrlPr>
              </m:sSubPr>
              <m:e>
                <m:r>
                  <m:rPr/>
                  <w:rPr>
                    <w:rFonts w:ascii="Cambria Math"/>
                    <w:szCs w:val="21"/>
                  </w:rPr>
                  <m:t>Y</m:t>
                </m:r>
                <m:ctrlPr>
                  <w:rPr>
                    <w:rFonts w:ascii="Cambria Math"/>
                    <w:i/>
                    <w:szCs w:val="21"/>
                  </w:rPr>
                </m:ctrlPr>
              </m:e>
              <m:sub>
                <m:r>
                  <m:rPr/>
                  <w:rPr>
                    <w:rFonts w:ascii="Cambria Math"/>
                    <w:szCs w:val="21"/>
                  </w:rPr>
                  <m:t>g</m:t>
                </m:r>
                <m:ctrlPr>
                  <w:rPr>
                    <w:rFonts w:ascii="Cambria Math"/>
                    <w:i/>
                    <w:szCs w:val="21"/>
                  </w:rPr>
                </m:ctrlPr>
              </m:sub>
            </m:sSub>
            <m:ctrlPr>
              <w:rPr>
                <w:rFonts w:ascii="Cambria Math"/>
                <w:i/>
                <w:szCs w:val="21"/>
              </w:rPr>
            </m:ctrlPr>
          </m:e>
          <m:sub>
            <m:r>
              <m:rPr/>
              <w:rPr>
                <w:rFonts w:ascii="Cambria Math"/>
                <w:szCs w:val="21"/>
              </w:rPr>
              <m:t>k</m:t>
            </m:r>
            <m:ctrlPr>
              <w:rPr>
                <w:rFonts w:ascii="Cambria Math"/>
                <w:i/>
                <w:szCs w:val="21"/>
              </w:rPr>
            </m:ctrlPr>
          </m:sub>
        </m:sSub>
        <m:r>
          <m:rPr/>
          <w:rPr>
            <w:rFonts w:ascii="Cambria Math"/>
            <w:szCs w:val="21"/>
          </w:rPr>
          <m:t>(</m:t>
        </m:r>
        <m:sSub>
          <m:sSubPr>
            <m:ctrlPr>
              <w:rPr>
                <w:rFonts w:ascii="Cambria Math"/>
                <w:i/>
                <w:szCs w:val="21"/>
              </w:rPr>
            </m:ctrlPr>
          </m:sSubPr>
          <m:e>
            <m:r>
              <m:rPr/>
              <w:rPr>
                <w:rFonts w:ascii="Cambria Math"/>
                <w:szCs w:val="21"/>
              </w:rPr>
              <m:t>x</m:t>
            </m:r>
            <m:ctrlPr>
              <w:rPr>
                <w:rFonts w:ascii="Cambria Math"/>
                <w:i/>
                <w:szCs w:val="21"/>
              </w:rPr>
            </m:ctrlPr>
          </m:e>
          <m:sub>
            <m:r>
              <m:rPr>
                <m:nor/>
                <m:sty m:val="p"/>
              </m:rPr>
              <w:rPr>
                <w:rFonts w:ascii="Cambria Math"/>
                <w:b w:val="0"/>
                <w:i w:val="0"/>
                <w:szCs w:val="21"/>
              </w:rPr>
              <m:t>ij</m:t>
            </m:r>
            <m:ctrlPr>
              <w:rPr>
                <w:rFonts w:ascii="Cambria Math"/>
                <w:szCs w:val="21"/>
              </w:rPr>
            </m:ctrlPr>
          </m:sub>
        </m:sSub>
        <m:r>
          <m:rPr/>
          <w:rPr>
            <w:rFonts w:ascii="Cambria Math"/>
            <w:szCs w:val="21"/>
          </w:rPr>
          <m:t>)=</m:t>
        </m:r>
        <m:d>
          <m:dPr>
            <m:begChr m:val="{"/>
            <m:endChr m:val=""/>
            <m:ctrlPr>
              <w:rPr>
                <w:rFonts w:ascii="Cambria Math"/>
                <w:i/>
                <w:szCs w:val="21"/>
              </w:rPr>
            </m:ctrlPr>
          </m:dPr>
          <m:e>
            <m:eqArr>
              <m:eqArrPr>
                <m:ctrlPr>
                  <w:rPr>
                    <w:rFonts w:ascii="Cambria Math"/>
                    <w:i/>
                    <w:szCs w:val="21"/>
                  </w:rPr>
                </m:ctrlPr>
              </m:eqArrPr>
              <m:e>
                <m:r>
                  <m:rPr/>
                  <w:rPr>
                    <w:rFonts w:ascii="Cambria Math"/>
                    <w:szCs w:val="21"/>
                  </w:rPr>
                  <m:t>&amp;100，</m:t>
                </m:r>
                <m:sSub>
                  <m:sSubPr>
                    <m:ctrlPr>
                      <w:rPr>
                        <w:rFonts w:ascii="Cambria Math"/>
                        <w:i/>
                        <w:szCs w:val="21"/>
                      </w:rPr>
                    </m:ctrlPr>
                  </m:sSubPr>
                  <m:e>
                    <m:r>
                      <m:rPr/>
                      <w:rPr>
                        <w:rFonts w:ascii="Cambria Math"/>
                        <w:szCs w:val="21"/>
                      </w:rPr>
                      <m:t>x</m:t>
                    </m:r>
                    <m:ctrlPr>
                      <w:rPr>
                        <w:rFonts w:ascii="Cambria Math"/>
                        <w:i/>
                        <w:szCs w:val="21"/>
                      </w:rPr>
                    </m:ctrlPr>
                  </m:e>
                  <m:sub>
                    <m:r>
                      <m:rPr/>
                      <w:rPr>
                        <w:rFonts w:ascii="Cambria Math"/>
                        <w:szCs w:val="21"/>
                      </w:rPr>
                      <m:t>ij</m:t>
                    </m:r>
                    <m:ctrlPr>
                      <w:rPr>
                        <w:rFonts w:ascii="Cambria Math"/>
                        <w:i/>
                        <w:szCs w:val="21"/>
                      </w:rPr>
                    </m:ctrlPr>
                  </m:sub>
                </m:sSub>
                <m:r>
                  <m:rPr/>
                  <w:rPr>
                    <w:rFonts w:hint="eastAsia" w:ascii="Cambria Math" w:hAnsi="Cambria Math" w:cs="宋体"/>
                    <w:szCs w:val="21"/>
                  </w:rPr>
                  <m:t>∈</m:t>
                </m:r>
                <m:sSub>
                  <m:sSubPr>
                    <m:ctrlPr>
                      <w:rPr>
                        <w:rFonts w:ascii="Cambria Math"/>
                        <w:i/>
                        <w:szCs w:val="21"/>
                      </w:rPr>
                    </m:ctrlPr>
                  </m:sSubPr>
                  <m:e>
                    <m:r>
                      <m:rPr/>
                      <w:rPr>
                        <w:rFonts w:ascii="Cambria Math"/>
                        <w:szCs w:val="21"/>
                      </w:rPr>
                      <m:t>g</m:t>
                    </m:r>
                    <m:ctrlPr>
                      <w:rPr>
                        <w:rFonts w:ascii="Cambria Math"/>
                        <w:i/>
                        <w:szCs w:val="21"/>
                      </w:rPr>
                    </m:ctrlPr>
                  </m:e>
                  <m:sub>
                    <m:r>
                      <m:rPr/>
                      <w:rPr>
                        <w:rFonts w:ascii="Cambria Math"/>
                        <w:szCs w:val="21"/>
                      </w:rPr>
                      <m:t>k</m:t>
                    </m:r>
                    <m:ctrlPr>
                      <w:rPr>
                        <w:rFonts w:ascii="Cambria Math"/>
                        <w:i/>
                        <w:szCs w:val="21"/>
                      </w:rPr>
                    </m:ctrlPr>
                  </m:sub>
                </m:sSub>
                <m:ctrlPr>
                  <w:rPr>
                    <w:rFonts w:ascii="Cambria Math"/>
                    <w:i/>
                    <w:szCs w:val="21"/>
                  </w:rPr>
                </m:ctrlPr>
              </m:e>
              <m:e>
                <m:r>
                  <m:rPr/>
                  <w:rPr>
                    <w:rFonts w:ascii="Cambria Math"/>
                    <w:szCs w:val="21"/>
                  </w:rPr>
                  <m:t>&amp;0,</m:t>
                </m:r>
                <m:sSub>
                  <m:sSubPr>
                    <m:ctrlPr>
                      <w:rPr>
                        <w:rFonts w:ascii="Cambria Math"/>
                        <w:i/>
                        <w:szCs w:val="21"/>
                      </w:rPr>
                    </m:ctrlPr>
                  </m:sSubPr>
                  <m:e>
                    <m:r>
                      <m:rPr/>
                      <w:rPr>
                        <w:rFonts w:ascii="Cambria Math"/>
                        <w:szCs w:val="21"/>
                      </w:rPr>
                      <m:t>x</m:t>
                    </m:r>
                    <m:ctrlPr>
                      <w:rPr>
                        <w:rFonts w:ascii="Cambria Math"/>
                        <w:i/>
                        <w:szCs w:val="21"/>
                      </w:rPr>
                    </m:ctrlPr>
                  </m:e>
                  <m:sub>
                    <m:r>
                      <m:rPr/>
                      <w:rPr>
                        <w:rFonts w:ascii="Cambria Math"/>
                        <w:szCs w:val="21"/>
                      </w:rPr>
                      <m:t>ij</m:t>
                    </m:r>
                    <m:ctrlPr>
                      <w:rPr>
                        <w:rFonts w:ascii="Cambria Math"/>
                        <w:i/>
                        <w:szCs w:val="21"/>
                      </w:rPr>
                    </m:ctrlPr>
                  </m:sub>
                </m:sSub>
                <m:r>
                  <m:rPr/>
                  <w:rPr>
                    <w:rFonts w:hint="eastAsia" w:ascii="Cambria Math" w:hAnsi="Cambria Math" w:eastAsia="MS Mincho" w:cs="MS Mincho"/>
                    <w:szCs w:val="21"/>
                  </w:rPr>
                  <m:t>∉</m:t>
                </m:r>
                <m:sSub>
                  <m:sSubPr>
                    <m:ctrlPr>
                      <w:rPr>
                        <w:rFonts w:ascii="Cambria Math"/>
                        <w:i/>
                        <w:szCs w:val="21"/>
                      </w:rPr>
                    </m:ctrlPr>
                  </m:sSubPr>
                  <m:e>
                    <m:r>
                      <m:rPr/>
                      <w:rPr>
                        <w:rFonts w:ascii="Cambria Math"/>
                        <w:szCs w:val="21"/>
                      </w:rPr>
                      <m:t>g</m:t>
                    </m:r>
                    <m:ctrlPr>
                      <w:rPr>
                        <w:rFonts w:ascii="Cambria Math"/>
                        <w:i/>
                        <w:szCs w:val="21"/>
                      </w:rPr>
                    </m:ctrlPr>
                  </m:e>
                  <m:sub>
                    <m:r>
                      <m:rPr/>
                      <w:rPr>
                        <w:rFonts w:ascii="Cambria Math"/>
                        <w:szCs w:val="21"/>
                      </w:rPr>
                      <m:t>k</m:t>
                    </m:r>
                    <m:ctrlPr>
                      <w:rPr>
                        <w:rFonts w:ascii="Cambria Math"/>
                        <w:i/>
                        <w:szCs w:val="21"/>
                      </w:rPr>
                    </m:ctrlPr>
                  </m:sub>
                </m:sSub>
                <m:ctrlPr>
                  <w:rPr>
                    <w:rFonts w:ascii="Cambria Math" w:hAnsi="Cambria Math"/>
                    <w:i/>
                    <w:szCs w:val="21"/>
                  </w:rPr>
                </m:ctrlPr>
              </m:e>
            </m:eqArr>
            <m:ctrlPr>
              <w:rPr>
                <w:rFonts w:ascii="Cambria Math" w:hAnsi="Cambria Math"/>
                <w:i/>
                <w:szCs w:val="21"/>
              </w:rPr>
            </m:ctrlPr>
          </m:e>
        </m:d>
      </m:oMath>
      <w:r>
        <w:rPr>
          <w:rFonts w:hint="eastAsia"/>
        </w:rPr>
        <w:t>………………………………………………………（</w:t>
      </w:r>
      <w:r>
        <w:rPr>
          <w:rFonts w:hint="eastAsia"/>
          <w:lang w:val="en-US" w:eastAsia="zh-CN"/>
        </w:rPr>
        <w:t>5-</w:t>
      </w:r>
      <w:r>
        <w:rPr>
          <w:rFonts w:hint="eastAsia"/>
        </w:rPr>
        <w:t>1）</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X</w:t>
      </w:r>
      <w:r>
        <w:rPr>
          <w:rFonts w:hint="eastAsia" w:ascii="宋体" w:hAnsi="宋体" w:eastAsia="宋体" w:cs="宋体"/>
          <w:sz w:val="21"/>
          <w:szCs w:val="21"/>
          <w:vertAlign w:val="subscript"/>
        </w:rPr>
        <w:t>ij</w:t>
      </w:r>
      <w:r>
        <w:rPr>
          <w:rFonts w:hint="eastAsia" w:ascii="宋体" w:hAnsi="宋体" w:eastAsia="宋体" w:cs="宋体"/>
          <w:sz w:val="21"/>
          <w:szCs w:val="21"/>
          <w:vertAlign w:val="subscript"/>
          <w:lang w:eastAsia="zh-CN"/>
        </w:rPr>
        <w:t>——</w:t>
      </w:r>
      <w:r>
        <w:rPr>
          <w:rFonts w:hint="eastAsia" w:ascii="宋体" w:hAnsi="宋体" w:eastAsia="宋体" w:cs="宋体"/>
          <w:sz w:val="21"/>
          <w:szCs w:val="21"/>
        </w:rPr>
        <w:t>第i个一级指标下的第j个二级指标；</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x</w:t>
      </w:r>
      <w:r>
        <w:rPr>
          <w:rFonts w:hint="eastAsia" w:ascii="宋体" w:hAnsi="宋体" w:eastAsia="宋体" w:cs="宋体"/>
          <w:sz w:val="21"/>
          <w:szCs w:val="21"/>
          <w:vertAlign w:val="subscript"/>
        </w:rPr>
        <w:t>ij</w:t>
      </w:r>
      <w:r>
        <w:rPr>
          <w:rFonts w:hint="eastAsia" w:ascii="宋体" w:hAnsi="宋体" w:eastAsia="宋体" w:cs="宋体"/>
          <w:sz w:val="21"/>
          <w:szCs w:val="21"/>
        </w:rPr>
        <w:t>_____</w:t>
      </w:r>
      <w:r>
        <w:rPr>
          <w:rFonts w:hint="eastAsia" w:ascii="宋体" w:hAnsi="宋体" w:eastAsia="宋体" w:cs="宋体"/>
          <w:sz w:val="21"/>
          <w:szCs w:val="21"/>
        </w:rPr>
        <w:softHyphen/>
      </w:r>
      <w:r>
        <w:rPr>
          <w:rFonts w:hint="eastAsia" w:ascii="宋体" w:hAnsi="宋体" w:eastAsia="宋体" w:cs="宋体"/>
          <w:sz w:val="21"/>
          <w:szCs w:val="21"/>
        </w:rPr>
        <w:t>__第i个一级指标下的第j个二级指标；</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lang w:eastAsia="zh-CN"/>
        </w:rPr>
      </w:pPr>
      <w:r>
        <w:rPr>
          <w:rFonts w:hint="eastAsia" w:ascii="宋体" w:hAnsi="宋体" w:eastAsia="宋体" w:cs="宋体"/>
          <w:sz w:val="21"/>
          <w:szCs w:val="21"/>
        </w:rPr>
        <w:t>Y</w:t>
      </w:r>
      <w:r>
        <w:rPr>
          <w:rFonts w:hint="eastAsia" w:ascii="宋体" w:hAnsi="宋体" w:eastAsia="宋体" w:cs="宋体"/>
          <w:sz w:val="21"/>
          <w:szCs w:val="21"/>
          <w:vertAlign w:val="subscript"/>
        </w:rPr>
        <w:t>gk</w:t>
      </w:r>
      <w:r>
        <w:rPr>
          <w:rFonts w:hint="eastAsia" w:ascii="宋体" w:hAnsi="宋体" w:eastAsia="宋体" w:cs="宋体"/>
          <w:sz w:val="21"/>
          <w:szCs w:val="21"/>
        </w:rPr>
        <w:t>（x</w:t>
      </w:r>
      <w:r>
        <w:rPr>
          <w:rFonts w:hint="eastAsia" w:ascii="宋体" w:hAnsi="宋体" w:eastAsia="宋体" w:cs="宋体"/>
          <w:sz w:val="21"/>
          <w:szCs w:val="21"/>
          <w:vertAlign w:val="subscript"/>
        </w:rPr>
        <w:t>ij</w:t>
      </w:r>
      <w:r>
        <w:rPr>
          <w:rFonts w:hint="eastAsia" w:ascii="宋体" w:hAnsi="宋体" w:eastAsia="宋体" w:cs="宋体"/>
          <w:sz w:val="21"/>
          <w:szCs w:val="21"/>
        </w:rPr>
        <w:t>）</w:t>
      </w:r>
      <w:r>
        <w:rPr>
          <w:rFonts w:hint="eastAsia" w:ascii="宋体" w:hAnsi="宋体" w:eastAsia="宋体" w:cs="宋体"/>
          <w:sz w:val="21"/>
          <w:szCs w:val="21"/>
          <w:vertAlign w:val="superscript"/>
        </w:rPr>
        <w:t>_____</w:t>
      </w:r>
      <w:r>
        <w:rPr>
          <w:rFonts w:hint="eastAsia" w:ascii="宋体" w:hAnsi="宋体" w:eastAsia="宋体" w:cs="宋体"/>
          <w:sz w:val="21"/>
          <w:szCs w:val="21"/>
          <w:vertAlign w:val="superscript"/>
        </w:rPr>
        <w:softHyphen/>
      </w:r>
      <w:r>
        <w:rPr>
          <w:rFonts w:hint="eastAsia" w:ascii="宋体" w:hAnsi="宋体" w:eastAsia="宋体" w:cs="宋体"/>
          <w:sz w:val="21"/>
          <w:szCs w:val="21"/>
          <w:vertAlign w:val="superscript"/>
        </w:rPr>
        <w:t>__</w:t>
      </w:r>
      <w:r>
        <w:rPr>
          <w:rFonts w:hint="eastAsia" w:ascii="宋体" w:hAnsi="宋体" w:eastAsia="宋体" w:cs="宋体"/>
          <w:sz w:val="21"/>
          <w:szCs w:val="21"/>
        </w:rPr>
        <w:t>二级指标x</w:t>
      </w:r>
      <w:r>
        <w:rPr>
          <w:rFonts w:hint="eastAsia" w:ascii="宋体" w:hAnsi="宋体" w:eastAsia="宋体" w:cs="宋体"/>
          <w:sz w:val="21"/>
          <w:szCs w:val="21"/>
          <w:vertAlign w:val="subscript"/>
        </w:rPr>
        <w:t>ij</w:t>
      </w:r>
      <w:r>
        <w:rPr>
          <w:rFonts w:hint="eastAsia" w:ascii="宋体" w:hAnsi="宋体" w:eastAsia="宋体" w:cs="宋体"/>
          <w:sz w:val="21"/>
          <w:szCs w:val="21"/>
        </w:rPr>
        <w:t>对于级别g</w:t>
      </w:r>
      <w:r>
        <w:rPr>
          <w:rFonts w:hint="eastAsia" w:ascii="宋体" w:hAnsi="宋体" w:eastAsia="宋体" w:cs="宋体"/>
          <w:sz w:val="21"/>
          <w:szCs w:val="21"/>
          <w:vertAlign w:val="subscript"/>
        </w:rPr>
        <w:t>k</w:t>
      </w:r>
      <w:r>
        <w:rPr>
          <w:rFonts w:hint="eastAsia" w:ascii="宋体" w:hAnsi="宋体" w:eastAsia="宋体" w:cs="宋体"/>
          <w:sz w:val="21"/>
          <w:szCs w:val="21"/>
        </w:rPr>
        <w:t>的隶属函数</w:t>
      </w:r>
      <w:r>
        <w:rPr>
          <w:rFonts w:hint="eastAsia"/>
          <w:szCs w:val="21"/>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default" w:ascii="黑体" w:hAnsi="黑体" w:eastAsia="宋体" w:cs="黑体"/>
          <w:lang w:val="en-US" w:eastAsia="zh-CN"/>
        </w:rPr>
      </w:pPr>
      <w:r>
        <w:rPr>
          <w:rFonts w:hint="eastAsia" w:ascii="黑体" w:hAnsi="黑体" w:eastAsia="黑体" w:cs="黑体"/>
          <w:lang w:val="en-US" w:eastAsia="zh-CN"/>
        </w:rPr>
        <w:t>5.2.2</w:t>
      </w:r>
      <w:r>
        <w:rPr>
          <w:rFonts w:hint="eastAsia" w:hAnsi="黑体" w:cs="黑体"/>
          <w:lang w:val="en-US" w:eastAsia="zh-CN"/>
        </w:rPr>
        <w:t xml:space="preserve">  </w:t>
      </w:r>
      <w:r>
        <w:rPr>
          <w:rFonts w:hint="eastAsia" w:ascii="黑体" w:eastAsia="黑体"/>
        </w:rPr>
        <w:t>指标权重</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rPr>
        <w:t>一级指标的权重集</w:t>
      </w:r>
      <w:r>
        <w:fldChar w:fldCharType="begin"/>
      </w:r>
      <w:r>
        <w:instrText xml:space="preserve"> QUOTE </w:instrText>
      </w:r>
      <w:r>
        <w:rPr>
          <w:rFonts w:hint="eastAsia"/>
          <w:position w:val="-8"/>
        </w:rPr>
        <w:pict>
          <v:shape id="_x0000_i1026" o:spt="75" type="#_x0000_t75" style="height:15.5pt;width:110.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161F&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E1161F&quot; wsp:rsidP=&quot;00E1161F&quot;&gt;&lt;m:oMathPara&gt;&lt;m:oMath&gt;&lt;m:r&gt;&lt;w:rPr&gt;&lt;w:rFonts w:ascii=&quot;Cambria Math&quot;/&gt;&lt;wx:font wx:val=&quot;Cambria Math&quot;/&gt;&lt;w:i/&gt;&lt;/w:rPr&gt;&lt;m:t&gt;w=&lt;/m:t&gt;&lt;/m:r&gt;&lt;m:d&gt;&lt;m:dPr&gt;&lt;m:begChr m:val=&quot;{&quot;/&gt;&lt;m:endChr m:val=&quot;&quot;/&gt;&lt;m:ctrlPr&gt;&lt;w:rPr&gt;&lt;w:rFonts w:ascii=&quot;Cambria Math&quot;/&gt;&lt;wx:font wx:val=&quot;Cambria Math&quot;/&gt;&lt;w:i/&gt;&lt;/w:rPr&gt;&lt;/m:ctrlPr&gt;&lt;/m:dPr&gt;&lt;m:e&gt;&lt;m:d&gt;&lt;m:dPr&gt;&lt;m:begChr m:val=&quot;&quot;/&gt;&lt;m:endChr m:val=&quot;}&quot;/&gt;&lt;m:ctrlPr&gt;&lt;w:rPr&gt;&lt;w:rFonts w:ascii=&quot;Cambria Math&quot;/&gt;&lt;wx:font wx:val=&quot;Cambria Math&quot;/&gt;&lt;w:i/&gt;&lt;/w:rPr&gt;&lt;/m:ctrlPr&gt;&lt;/m:dPr&gt;&lt;m:e&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i&lt;/m:t&gt;&lt;/m:r&gt;&lt;/m:sub&gt;&lt;/m:sSub&gt;&lt;m:r&gt;&lt;w:rPr&gt;&lt;w:rFonts w:ascii=&quot;Cambria Math&quot;/&gt;&lt;wx:font wx:val=&quot;Cambria Math&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m&lt;/m:t&gt;&lt;/m:r&gt;&lt;/m:sub&gt;&lt;/m:sSub&gt;&lt;m:ctrlPr&gt;&lt;w:rPr&gt;&lt;w:rFonts w:ascii=&quot;Cambria Math&quot; w:h-ansi=&quot;Cambria Math&quot;/&gt;&lt;wx:font wx:val=&quot;Cambria Math&quot;/&gt;&lt;w:i/&gt;&lt;/w:rPr&gt;&lt;/m:ctrlPr&gt;&lt;/m:e&gt;&lt;/m:d&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instrText xml:space="preserve"> </w:instrText>
      </w:r>
      <w:r>
        <w:fldChar w:fldCharType="separate"/>
      </w:r>
      <w:r>
        <w:rPr>
          <w:rFonts w:hint="eastAsia"/>
          <w:position w:val="-8"/>
        </w:rPr>
        <w:pict>
          <v:shape id="_x0000_i1027" o:spt="75" type="#_x0000_t75" style="height:15.5pt;width:110.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161F&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E1161F&quot; wsp:rsidP=&quot;00E1161F&quot;&gt;&lt;m:oMathPara&gt;&lt;m:oMath&gt;&lt;m:r&gt;&lt;w:rPr&gt;&lt;w:rFonts w:ascii=&quot;Cambria Math&quot;/&gt;&lt;wx:font wx:val=&quot;Cambria Math&quot;/&gt;&lt;w:i/&gt;&lt;/w:rPr&gt;&lt;m:t&gt;w=&lt;/m:t&gt;&lt;/m:r&gt;&lt;m:d&gt;&lt;m:dPr&gt;&lt;m:begChr m:val=&quot;{&quot;/&gt;&lt;m:endChr m:val=&quot;&quot;/&gt;&lt;m:ctrlPr&gt;&lt;w:rPr&gt;&lt;w:rFonts w:ascii=&quot;Cambria Math&quot;/&gt;&lt;wx:font wx:val=&quot;Cambria Math&quot;/&gt;&lt;w:i/&gt;&lt;/w:rPr&gt;&lt;/m:ctrlPr&gt;&lt;/m:dPr&gt;&lt;m:e&gt;&lt;m:d&gt;&lt;m:dPr&gt;&lt;m:begChr m:val=&quot;&quot;/&gt;&lt;m:endChr m:val=&quot;}&quot;/&gt;&lt;m:ctrlPr&gt;&lt;w:rPr&gt;&lt;w:rFonts w:ascii=&quot;Cambria Math&quot;/&gt;&lt;wx:font wx:val=&quot;Cambria Math&quot;/&gt;&lt;w:i/&gt;&lt;/w:rPr&gt;&lt;/m:ctrlPr&gt;&lt;/m:dPr&gt;&lt;m:e&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i&lt;/m:t&gt;&lt;/m:r&gt;&lt;/m:sub&gt;&lt;/m:sSub&gt;&lt;m:r&gt;&lt;w:rPr&gt;&lt;w:rFonts w:ascii=&quot;Cambria Math&quot;/&gt;&lt;wx:font wx:val=&quot;Cambria Math&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w&lt;/m:t&gt;&lt;/m:r&gt;&lt;/m:e&gt;&lt;m:sub&gt;&lt;m:r&gt;&lt;w:rPr&gt;&lt;w:rFonts w:ascii=&quot;Cambria Math&quot;/&gt;&lt;wx:font wx:val=&quot;Cambria Math&quot;/&gt;&lt;w:i/&gt;&lt;/w:rPr&gt;&lt;m:t&gt;m&lt;/m:t&gt;&lt;/m:r&gt;&lt;/m:sub&gt;&lt;/m:sSub&gt;&lt;m:ctrlPr&gt;&lt;w:rPr&gt;&lt;w:rFonts w:ascii=&quot;Cambria Math&quot; w:h-ansi=&quot;Cambria Math&quot;/&gt;&lt;wx:font wx:val=&quot;Cambria Math&quot;/&gt;&lt;w:i/&gt;&lt;/w:rPr&gt;&lt;/m:ctrlPr&gt;&lt;/m:e&gt;&lt;/m:d&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fldChar w:fldCharType="end"/>
      </w:r>
      <w:r>
        <w:rPr>
          <w:rFonts w:hint="eastAsia"/>
        </w:rPr>
        <w:t>，二级指标的权重集</w:t>
      </w:r>
      <w:r>
        <w:fldChar w:fldCharType="begin"/>
      </w:r>
      <w:r>
        <w:instrText xml:space="preserve"> QUOTE </w:instrText>
      </w:r>
      <w:r>
        <w:rPr>
          <w:rFonts w:hint="eastAsia"/>
          <w:position w:val="-22"/>
        </w:rPr>
        <w:pict>
          <v:shape id="_x0000_i1028" o:spt="75" type="#_x0000_t75" style="height:31pt;width:15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0762C&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60762C&quot; wsp:rsidP=&quot;0060762C&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lt;/m:t&gt;&lt;/m:r&gt;&lt;/m:sub&gt;&lt;/m:sSub&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1&lt;/m:t&gt;&lt;/m:r&gt;&lt;/m:sub&gt;&lt;/m:sSub&gt;&lt;m:r&gt;&lt;w:rPr&gt;&lt;w:rFonts w:ascii=&quot;Cambria Math&quot;/&gt;&lt;wx:font wx:val=&quot;宋体&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2&lt;/m:t&gt;&lt;/m:r&gt;&lt;/m:sub&gt;&lt;/m:sSub&gt;&lt;m:r&gt;&lt;w:rPr&gt;&lt;w:rFonts w:ascii=&quot;Cambria Math&quot;/&gt;&lt;wx:font wx:val=&quot;宋体&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r&gt;&lt;w:rPr&gt;&lt;w:rFonts w:ascii=&quot;Cambria Math&quot;/&gt;&lt;wx:font wx:val=&quot;宋体&quot;/&gt;&lt;w:i/&gt;&lt;/w:rPr&gt;&lt;m:t&gt;，&lt;/m:t&gt;&lt;/m:r&gt;&lt;m:r&gt;&lt;w:rPr&gt;&lt;w:rFonts w:ascii=&quot;Cambria Math&quot;/&gt;&lt;w:i/&gt;&lt;/w:rPr&gt;&lt;m:t&gt;…&lt;/m:t&gt;&lt;/m:r&gt;&lt;m:r&gt;&lt;w:rPr&gt;&lt;w:rFonts w:ascii=&quot;Cambria Math&quot;/&gt;&lt;wx:font wx:val=&quot;Cambria Math&quot;/&gt;&lt;w:i/&gt;&lt;/w:rPr&gt;&lt;m:t&gt;ω&lt;/m:t&gt;&lt;/m:r&gt;&lt;m:d&gt;&lt;m:dPr&gt;&lt;m:begChr m:val=&quot;&quot;/&gt;&lt;m:endChr m:val=&quot;}&quot;/&gt;&lt;m:ctrlPr&gt;&lt;w:rPr&gt;&lt;w:rFonts w:ascii=&quot;Cambria Math&quot;/&gt;&lt;wx:font wx:val=&quot;Cambria Math&quot;/&gt;&lt;w:i/&gt;&lt;/w:rPr&gt;&lt;/m:ctrlPr&gt;&lt;/m:dPr&gt;&lt;m:e&gt;&lt;m:r&gt;&lt;w:rPr&gt;&lt;w:rFonts w:ascii=&quot;Cambria Math&quot;/&gt;&lt;wx:font wx:val=&quot;Cambria Math&quot;/&gt;&lt;w:i/&gt;&lt;/w:rPr&gt;&lt;m:t&gt;i&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i&lt;/m:t&gt;&lt;/m:r&gt;&lt;/m:sub&gt;&lt;/m:sSub&gt;&lt;m:ctrlPr&gt;&lt;w:rPr&gt;&lt;w:rFonts w:ascii=&quot;Cambria Math&quot; w:h-ansi=&quot;Cambria Math&quot;/&gt;&lt;wx:font wx:val=&quot;Cambria Math&quot;/&gt;&lt;w:i/&gt;&lt;/w:rPr&gt;&lt;/m:ctrlPr&gt;&lt;/m:e&gt;&lt;/m:d&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instrText xml:space="preserve"> </w:instrText>
      </w:r>
      <w:r>
        <w:fldChar w:fldCharType="separate"/>
      </w:r>
      <w:r>
        <w:rPr>
          <w:rFonts w:hint="eastAsia"/>
          <w:position w:val="-22"/>
        </w:rPr>
        <w:pict>
          <v:shape id="_x0000_i1029" o:spt="75" type="#_x0000_t75" style="height:31pt;width:152.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0762C&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60762C&quot; wsp:rsidP=&quot;0060762C&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lt;/m:t&gt;&lt;/m:r&gt;&lt;/m:sub&gt;&lt;/m:sSub&gt;&lt;m:r&gt;&lt;w:rPr&gt;&lt;w:rFonts w:ascii=&quot;Cambria Math&quot;/&gt;&lt;wx:font wx:val=&quot;Cambria Math&quot;/&gt;&lt;w:i/&gt;&lt;/w:rPr&gt;&lt;m:t&gt;=&lt;/m:t&gt;&lt;/m:r&gt;&lt;m:d&gt;&lt;m:dPr&gt;&lt;m:begChr m:val=&quot;{&quot;/&gt;&lt;m:endChr m:val=&quot;&quot;/&gt;&lt;m:ctrlPr&gt;&lt;w:rPr&gt;&lt;w:rFonts w:ascii=&quot;Cambria Math&quot;/&gt;&lt;wx:font wx:val=&quot;Cambria Math&quot;/&gt;&lt;w:i/&gt;&lt;/w:rPr&gt;&lt;/m:ctrlPr&gt;&lt;/m:dPr&gt;&lt;m:e&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1&lt;/m:t&gt;&lt;/m:r&gt;&lt;/m:sub&gt;&lt;/m:sSub&gt;&lt;m:r&gt;&lt;w:rPr&gt;&lt;w:rFonts w:ascii=&quot;Cambria Math&quot;/&gt;&lt;wx:font wx:val=&quot;宋体&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2&lt;/m:t&gt;&lt;/m:r&gt;&lt;/m:sub&gt;&lt;/m:sSub&gt;&lt;m:r&gt;&lt;w:rPr&gt;&lt;w:rFonts w:ascii=&quot;Cambria Math&quot;/&gt;&lt;wx:font wx:val=&quot;宋体&quot;/&gt;&lt;w:i/&gt;&lt;/w:rPr&gt;&lt;m:t&gt;，&lt;/m:t&gt;&lt;/m:r&gt;&lt;m:r&gt;&lt;w:rPr&gt;&lt;w:rFonts w:ascii=&quot;Cambria Math&quot;/&gt;&lt;w:i/&gt;&lt;/w:rPr&gt;&lt;m:t&gt;…&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r&gt;&lt;w:rPr&gt;&lt;w:rFonts w:ascii=&quot;Cambria Math&quot;/&gt;&lt;wx:font wx:val=&quot;宋体&quot;/&gt;&lt;w:i/&gt;&lt;/w:rPr&gt;&lt;m:t&gt;，&lt;/m:t&gt;&lt;/m:r&gt;&lt;m:r&gt;&lt;w:rPr&gt;&lt;w:rFonts w:ascii=&quot;Cambria Math&quot;/&gt;&lt;w:i/&gt;&lt;/w:rPr&gt;&lt;m:t&gt;…&lt;/m:t&gt;&lt;/m:r&gt;&lt;m:r&gt;&lt;w:rPr&gt;&lt;w:rFonts w:ascii=&quot;Cambria Math&quot;/&gt;&lt;wx:font wx:val=&quot;Cambria Math&quot;/&gt;&lt;w:i/&gt;&lt;/w:rPr&gt;&lt;m:t&gt;ω&lt;/m:t&gt;&lt;/m:r&gt;&lt;m:d&gt;&lt;m:dPr&gt;&lt;m:begChr m:val=&quot;&quot;/&gt;&lt;m:endChr m:val=&quot;}&quot;/&gt;&lt;m:ctrlPr&gt;&lt;w:rPr&gt;&lt;w:rFonts w:ascii=&quot;Cambria Math&quot;/&gt;&lt;wx:font wx:val=&quot;Cambria Math&quot;/&gt;&lt;w:i/&gt;&lt;/w:rPr&gt;&lt;/m:ctrlPr&gt;&lt;/m:dPr&gt;&lt;m:e&gt;&lt;m:r&gt;&lt;w:rPr&gt;&lt;w:rFonts w:ascii=&quot;Cambria Math&quot;/&gt;&lt;wx:font wx:val=&quot;Cambria Math&quot;/&gt;&lt;w:i/&gt;&lt;/w:rPr&gt;&lt;m:t&gt;i&lt;/m:t&gt;&lt;/m:r&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i&lt;/m:t&gt;&lt;/m:r&gt;&lt;/m:sub&gt;&lt;/m:sSub&gt;&lt;m:ctrlPr&gt;&lt;w:rPr&gt;&lt;w:rFonts w:ascii=&quot;Cambria Math&quot; w:h-ansi=&quot;Cambria Math&quot;/&gt;&lt;wx:font wx:val=&quot;Cambria Math&quot;/&gt;&lt;w:i/&gt;&lt;/w:rPr&gt;&lt;/m:ctrlPr&gt;&lt;/m:e&gt;&lt;/m:d&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fldChar w:fldCharType="end"/>
      </w:r>
      <w:r>
        <w:rPr>
          <w:rFonts w:hint="eastAsia"/>
        </w:rPr>
        <w:t>。其中，</w:t>
      </w:r>
      <w:r>
        <w:fldChar w:fldCharType="begin"/>
      </w:r>
      <w:r>
        <w:instrText xml:space="preserve"> QUOTE </w:instrText>
      </w:r>
      <w:r>
        <w:rPr>
          <w:rFonts w:hint="eastAsia"/>
          <w:position w:val="-8"/>
        </w:rPr>
        <w:pict>
          <v:shape id="_x0000_i1030" o:spt="75" type="#_x0000_t75" style="height:15.5pt;width:5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576EF&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F576EF&quot; wsp:rsidP=&quot;00F576EF&quot;&gt;&lt;m:oMathPara&gt;&lt;m:oMath&gt;&lt;m:nary&gt;&lt;m:naryPr&gt;&lt;m:chr m:val=&quot;∑&quot;/&gt;&lt;m:ctrlPr&gt;&lt;w:rPr&gt;&lt;w:rFonts w:ascii=&quot;Cambria Math&quot;/&gt;&lt;wx:font wx:val=&quot;Cambria Math&quot;/&gt;&lt;w:i/&gt;&lt;/w:rPr&gt;&lt;/m:ctrlPr&gt;&lt;/m:naryPr&gt;&lt;m:sub&gt;&lt;m:r&gt;&lt;w:rPr&gt;&lt;w:rFonts w:ascii=&quot;Cambria Math&quot;/&gt;&lt;wx:font wx:val=&quot;Cambria Math&quot;/&gt;&lt;w:i/&gt;&lt;/w:rPr&gt;&lt;m:t&gt;i=1&lt;/m:t&gt;&lt;/m:r&gt;&lt;/m:sub&gt;&lt;m:sup&gt;&lt;m:r&gt;&lt;w:rPr&gt;&lt;w:rFonts w:ascii=&quot;Cambria Math&quot;/&gt;&lt;wx:font wx:val=&quot;Cambria Math&quot;/&gt;&lt;w:i/&gt;&lt;/w:rPr&gt;&lt;m:t&gt;m&lt;/m:t&gt;&lt;/m:r&gt;&lt;/m:sup&gt;&lt;m:e&gt;&lt;m:r&gt;&lt;m:rPr&gt;&lt;m:nor/&gt;&lt;/m:rPr&gt;&lt;w:rPr&gt;&lt;w:rFonts w:ascii=&quot;Cambria Math&quot;/&gt;&lt;wx:font wx:val=&quot;Cambria Math&quot;/&gt;&lt;/w:rPr&gt;&lt;m:t&gt; &lt;/m:t&gt;&lt;/m:r&gt;&lt;m:sSub&gt;&lt;m:sSubPr&gt;&lt;m:ctrlPr&gt;&lt;w:rPr&gt;&lt;w:rFonts w:ascii=&quot;Cambria Math&quot;/&gt;&lt;wx:font wx:val=&quot;Cambria Math&quot;/&gt;&lt;/w:rPr&gt;&lt;/m:ctrlPr&gt;&lt;/m:sSubPr&gt;&lt;m:e&gt;&lt;m:r&gt;&lt;m:rPr&gt;&lt;m:nor/&gt;&lt;/m:rPr&gt;&lt;w:rPr&gt;&lt;w:rFonts w:ascii=&quot;Cambria Math&quot;/&gt;&lt;wx:font wx:val=&quot;Cambria Math&quot;/&gt;&lt;/w:rPr&gt;&lt;m:t&gt;w&lt;/m:t&gt;&lt;/m:r&gt;&lt;/m:e&gt;&lt;m:sub&gt;&lt;m:r&gt;&lt;w:rPr&gt;&lt;w:rFonts w:ascii=&quot;Cambria Math&quot;/&gt;&lt;wx:font wx:val=&quot;Cambria Math&quot;/&gt;&lt;w:i/&gt;&lt;/w:rPr&gt;&lt;m:t&gt;i&lt;/m:t&gt;&lt;/m:r&gt;&lt;m:ctrlPr&gt;&lt;w:rPr&gt;&lt;w:rFonts w:ascii=&quot;Cambria Math&quot;/&gt;&lt;wx:font wx:val=&quot;Cambria Math&quot;/&gt;&lt;w:i/&gt;&lt;/w:rPr&gt;&lt;/m:ctrlPr&gt;&lt;/m:sub&gt;&lt;/m:sSub&gt;&lt;m:r&gt;&lt;w:rPr&gt;&lt;w:rFonts w:ascii=&quot;Cambria Math&quot;/&gt;&lt;wx:font wx:val=&quot;Cambria Math&quot;/&gt;&lt;w:i/&gt;&lt;/w:rPr&gt;&lt;m:t&gt;=1&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rFonts w:hint="eastAsia"/>
          <w:position w:val="-8"/>
        </w:rPr>
        <w:pict>
          <v:shape id="_x0000_i1031" o:spt="75" type="#_x0000_t75" style="height:15.5pt;width:5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576EF&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F576EF&quot; wsp:rsidP=&quot;00F576EF&quot;&gt;&lt;m:oMathPara&gt;&lt;m:oMath&gt;&lt;m:nary&gt;&lt;m:naryPr&gt;&lt;m:chr m:val=&quot;∑&quot;/&gt;&lt;m:ctrlPr&gt;&lt;w:rPr&gt;&lt;w:rFonts w:ascii=&quot;Cambria Math&quot;/&gt;&lt;wx:font wx:val=&quot;Cambria Math&quot;/&gt;&lt;w:i/&gt;&lt;/w:rPr&gt;&lt;/m:ctrlPr&gt;&lt;/m:naryPr&gt;&lt;m:sub&gt;&lt;m:r&gt;&lt;w:rPr&gt;&lt;w:rFonts w:ascii=&quot;Cambria Math&quot;/&gt;&lt;wx:font wx:val=&quot;Cambria Math&quot;/&gt;&lt;w:i/&gt;&lt;/w:rPr&gt;&lt;m:t&gt;i=1&lt;/m:t&gt;&lt;/m:r&gt;&lt;/m:sub&gt;&lt;m:sup&gt;&lt;m:r&gt;&lt;w:rPr&gt;&lt;w:rFonts w:ascii=&quot;Cambria Math&quot;/&gt;&lt;wx:font wx:val=&quot;Cambria Math&quot;/&gt;&lt;w:i/&gt;&lt;/w:rPr&gt;&lt;m:t&gt;m&lt;/m:t&gt;&lt;/m:r&gt;&lt;/m:sup&gt;&lt;m:e&gt;&lt;m:r&gt;&lt;m:rPr&gt;&lt;m:nor/&gt;&lt;/m:rPr&gt;&lt;w:rPr&gt;&lt;w:rFonts w:ascii=&quot;Cambria Math&quot;/&gt;&lt;wx:font wx:val=&quot;Cambria Math&quot;/&gt;&lt;/w:rPr&gt;&lt;m:t&gt; &lt;/m:t&gt;&lt;/m:r&gt;&lt;m:sSub&gt;&lt;m:sSubPr&gt;&lt;m:ctrlPr&gt;&lt;w:rPr&gt;&lt;w:rFonts w:ascii=&quot;Cambria Math&quot;/&gt;&lt;wx:font wx:val=&quot;Cambria Math&quot;/&gt;&lt;/w:rPr&gt;&lt;/m:ctrlPr&gt;&lt;/m:sSubPr&gt;&lt;m:e&gt;&lt;m:r&gt;&lt;m:rPr&gt;&lt;m:nor/&gt;&lt;/m:rPr&gt;&lt;w:rPr&gt;&lt;w:rFonts w:ascii=&quot;Cambria Math&quot;/&gt;&lt;wx:font wx:val=&quot;Cambria Math&quot;/&gt;&lt;/w:rPr&gt;&lt;m:t&gt;w&lt;/m:t&gt;&lt;/m:r&gt;&lt;/m:e&gt;&lt;m:sub&gt;&lt;m:r&gt;&lt;w:rPr&gt;&lt;w:rFonts w:ascii=&quot;Cambria Math&quot;/&gt;&lt;wx:font wx:val=&quot;Cambria Math&quot;/&gt;&lt;w:i/&gt;&lt;/w:rPr&gt;&lt;m:t&gt;i&lt;/m:t&gt;&lt;/m:r&gt;&lt;m:ctrlPr&gt;&lt;w:rPr&gt;&lt;w:rFonts w:ascii=&quot;Cambria Math&quot;/&gt;&lt;wx:font wx:val=&quot;Cambria Math&quot;/&gt;&lt;w:i/&gt;&lt;/w:rPr&gt;&lt;/m:ctrlPr&gt;&lt;/m:sub&gt;&lt;/m:sSub&gt;&lt;m:r&gt;&lt;w:rPr&gt;&lt;w:rFonts w:ascii=&quot;Cambria Math&quot;/&gt;&lt;wx:font wx:val=&quot;Cambria Math&quot;/&gt;&lt;w:i/&gt;&lt;/w:rPr&gt;&lt;m:t&gt;=1&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rPr>
          <w:rFonts w:hint="eastAsia"/>
        </w:rPr>
        <w:t xml:space="preserve"> ，</w:t>
      </w:r>
      <w:r>
        <w:fldChar w:fldCharType="begin"/>
      </w:r>
      <w:r>
        <w:instrText xml:space="preserve"> QUOTE </w:instrText>
      </w:r>
      <w:r>
        <w:rPr>
          <w:rFonts w:hint="eastAsia"/>
          <w:position w:val="-9"/>
        </w:rPr>
        <w:pict>
          <v:shape id="_x0000_i1032" o:spt="75" type="#_x0000_t75" style="height:15.5pt;width:59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813&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394813&quot; wsp:rsidP=&quot;00394813&quot;&gt;&lt;m:oMathPara&gt;&lt;m:oMath&gt;&lt;m:nary&gt;&lt;m:naryPr&gt;&lt;m:chr m:val=&quot;∑&quot;/&gt;&lt;m:ctrlPr&gt;&lt;w:rPr&gt;&lt;w:rFonts w:ascii=&quot;Cambria Math&quot;/&gt;&lt;wx:font wx:val=&quot;Cambria Math&quot;/&gt;&lt;w:i/&gt;&lt;/w:rPr&gt;&lt;/m:ctrlPr&gt;&lt;/m:naryPr&gt;&lt;m:sub&gt;&lt;m:r&gt;&lt;w:rPr&gt;&lt;w:rFonts w:ascii=&quot;Cambria Math&quot;/&gt;&lt;wx:font wx:val=&quot;Cambria Math&quot;/&gt;&lt;w:i/&gt;&lt;/w:rPr&gt;&lt;m:t&gt;j=1&lt;/m:t&gt;&lt;/m:r&gt;&lt;/m:sub&gt;&lt;m:sup&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i&lt;/m:t&gt;&lt;/m:r&gt;&lt;/m:sub&gt;&lt;/m:sSub&gt;&lt;/m:sup&gt;&lt;m:e&gt;&lt;m:r&gt;&lt;w:rPr&gt;&lt;w:rFonts w:ascii=&quot;Cambria Math&quot;/&gt;&lt;wx:font wx:val=&quot;Cambria Math&quot;/&gt;&lt;w:i/&gt;&lt;/w:rPr&gt;&lt;m:t&gt; &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r&gt;&lt;w:rPr&gt;&lt;w:rFonts w:ascii=&quot;Cambria Math&quot;/&gt;&lt;wx:font wx:val=&quot;Cambria Math&quot;/&gt;&lt;w:i/&gt;&lt;/w:rPr&gt;&lt;m:t&gt;=1&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instrText xml:space="preserve"> </w:instrText>
      </w:r>
      <w:r>
        <w:fldChar w:fldCharType="separate"/>
      </w:r>
      <w:r>
        <w:rPr>
          <w:rFonts w:hint="eastAsia"/>
          <w:position w:val="-9"/>
        </w:rPr>
        <w:pict>
          <v:shape id="_x0000_i1033" o:spt="75" type="#_x0000_t75" style="height:15.5pt;width:59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813&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394813&quot; wsp:rsidP=&quot;00394813&quot;&gt;&lt;m:oMathPara&gt;&lt;m:oMath&gt;&lt;m:nary&gt;&lt;m:naryPr&gt;&lt;m:chr m:val=&quot;∑&quot;/&gt;&lt;m:ctrlPr&gt;&lt;w:rPr&gt;&lt;w:rFonts w:ascii=&quot;Cambria Math&quot;/&gt;&lt;wx:font wx:val=&quot;Cambria Math&quot;/&gt;&lt;w:i/&gt;&lt;/w:rPr&gt;&lt;/m:ctrlPr&gt;&lt;/m:naryPr&gt;&lt;m:sub&gt;&lt;m:r&gt;&lt;w:rPr&gt;&lt;w:rFonts w:ascii=&quot;Cambria Math&quot;/&gt;&lt;wx:font wx:val=&quot;Cambria Math&quot;/&gt;&lt;w:i/&gt;&lt;/w:rPr&gt;&lt;m:t&gt;j=1&lt;/m:t&gt;&lt;/m:r&gt;&lt;/m:sub&gt;&lt;m:sup&gt;&lt;m:sSub&gt;&lt;m:sSubPr&gt;&lt;m:ctrlPr&gt;&lt;w:rPr&gt;&lt;w:rFonts w:ascii=&quot;Cambria Math&quot;/&gt;&lt;wx:font wx:val=&quot;Cambria Math&quot;/&gt;&lt;w:i/&gt;&lt;/w:rPr&gt;&lt;/m:ctrlPr&gt;&lt;/m:sSubPr&gt;&lt;m:e&gt;&lt;m:r&gt;&lt;w:rPr&gt;&lt;w:rFonts w:ascii=&quot;Cambria Math&quot;/&gt;&lt;wx:font wx:val=&quot;Cambria Math&quot;/&gt;&lt;w:i/&gt;&lt;/w:rPr&gt;&lt;m:t&gt;n&lt;/m:t&gt;&lt;/m:r&gt;&lt;/m:e&gt;&lt;m:sub&gt;&lt;m:r&gt;&lt;w:rPr&gt;&lt;w:rFonts w:ascii=&quot;Cambria Math&quot;/&gt;&lt;wx:font wx:val=&quot;Cambria Math&quot;/&gt;&lt;w:i/&gt;&lt;/w:rPr&gt;&lt;m:t&gt;i&lt;/m:t&gt;&lt;/m:r&gt;&lt;/m:sub&gt;&lt;/m:sSub&gt;&lt;/m:sup&gt;&lt;m:e&gt;&lt;m:r&gt;&lt;w:rPr&gt;&lt;w:rFonts w:ascii=&quot;Cambria Math&quot;/&gt;&lt;wx:font wx:val=&quot;Cambria Math&quot;/&gt;&lt;w:i/&gt;&lt;/w:rPr&gt;&lt;m:t&gt; &lt;/m:t&gt;&lt;/m:r&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r&gt;&lt;w:rPr&gt;&lt;w:rFonts w:ascii=&quot;Cambria Math&quot;/&gt;&lt;wx:font wx:val=&quot;Cambria Math&quot;/&gt;&lt;w:i/&gt;&lt;/w:rPr&gt;&lt;m:t&gt;=1&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fldChar w:fldCharType="end"/>
      </w:r>
      <w:r>
        <w:rPr>
          <w:rFonts w:hint="eastAsia"/>
        </w:rPr>
        <w:t>，m为一级指标的个数，</w:t>
      </w:r>
      <w:r>
        <w:rPr>
          <w:vertAlign w:val="subscript"/>
        </w:rPr>
        <w:fldChar w:fldCharType="begin"/>
      </w:r>
      <w:r>
        <w:rPr>
          <w:vertAlign w:val="subscript"/>
        </w:rPr>
        <w:instrText xml:space="preserve"> QUOTE </w:instrText>
      </w:r>
      <w:r>
        <w:rPr>
          <w:rFonts w:hint="eastAsia"/>
          <w:position w:val="-8"/>
        </w:rPr>
        <w:pict>
          <v:shape id="_x0000_i1034" o:spt="75" type="#_x0000_t75" style="height:15.5pt;width:8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375C&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03375C&quot; wsp:rsidP=&quot;0003375C&quot;&gt;&lt;m:oMathPara&gt;&lt;m:oMath&gt;&lt;m:r&gt;&lt;w:rPr&gt;&lt;w:rFonts w:ascii=&quot;Cambria Math&quot;/&gt;&lt;wx:font wx:val=&quot;Cambria Math&quot;/&gt;&lt;w:i/&gt;&lt;/w:rPr&gt;&lt;m:t&gt;w&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vertAlign w:val="subscript"/>
        </w:rPr>
        <w:instrText xml:space="preserve"> </w:instrText>
      </w:r>
      <w:r>
        <w:rPr>
          <w:vertAlign w:val="subscript"/>
        </w:rPr>
        <w:fldChar w:fldCharType="separate"/>
      </w:r>
      <w:r>
        <w:rPr>
          <w:rFonts w:hint="eastAsia"/>
          <w:position w:val="-8"/>
        </w:rPr>
        <w:pict>
          <v:shape id="_x0000_i1035" o:spt="75" type="#_x0000_t75" style="height:15.5pt;width:8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375C&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03375C&quot; wsp:rsidP=&quot;0003375C&quot;&gt;&lt;m:oMathPara&gt;&lt;m:oMath&gt;&lt;m:r&gt;&lt;w:rPr&gt;&lt;w:rFonts w:ascii=&quot;Cambria Math&quot;/&gt;&lt;wx:font wx:val=&quot;Cambria Math&quot;/&gt;&lt;w:i/&gt;&lt;/w:rPr&gt;&lt;m:t&gt;w&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vertAlign w:val="subscript"/>
        </w:rPr>
        <w:fldChar w:fldCharType="end"/>
      </w:r>
      <w:r>
        <w:rPr>
          <w:rFonts w:hint="eastAsia"/>
          <w:vertAlign w:val="subscript"/>
        </w:rPr>
        <w:t>i</w:t>
      </w:r>
      <w:r>
        <w:softHyphen/>
      </w:r>
      <w:r>
        <w:rPr>
          <w:rFonts w:hint="eastAsia"/>
        </w:rPr>
        <w:t>为第i个一级指标的权重；n</w:t>
      </w:r>
      <w:r>
        <w:rPr>
          <w:rFonts w:hint="eastAsia"/>
          <w:i/>
          <w:vertAlign w:val="subscript"/>
        </w:rPr>
        <w:t>i</w:t>
      </w:r>
      <w:r>
        <w:rPr>
          <w:i/>
        </w:rPr>
        <w:softHyphen/>
      </w:r>
      <w:r>
        <w:rPr>
          <w:rFonts w:hint="eastAsia"/>
        </w:rPr>
        <w:t>为第</w:t>
      </w:r>
      <w:r>
        <w:rPr>
          <w:rFonts w:hint="eastAsia" w:hAnsi="宋体"/>
        </w:rPr>
        <w:t>i</w:t>
      </w:r>
      <w:r>
        <w:rPr>
          <w:rFonts w:hint="eastAsia"/>
        </w:rPr>
        <w:t>个一级指标下二级指标的个数，</w:t>
      </w:r>
      <w:r>
        <w:t xml:space="preserve"> </w:t>
      </w:r>
      <w:r>
        <w:fldChar w:fldCharType="begin"/>
      </w:r>
      <w:r>
        <w:instrText xml:space="preserve"> QUOTE </w:instrText>
      </w:r>
      <w:r>
        <w:rPr>
          <w:position w:val="-9"/>
        </w:rPr>
        <w:pict>
          <v:shape id="_x0000_i1036" o:spt="75" type="#_x0000_t75" style="height:15.5pt;width:14.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6A91&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6D6A91&quot; wsp:rsidP=&quot;006D6A9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instrText xml:space="preserve"> </w:instrText>
      </w:r>
      <w:r>
        <w:fldChar w:fldCharType="separate"/>
      </w:r>
      <w:r>
        <w:rPr>
          <w:position w:val="-9"/>
        </w:rPr>
        <w:pict>
          <v:shape id="_x0000_i1037" o:spt="75" type="#_x0000_t75" style="height:15.5pt;width:14.5pt;" filled="f" o:preferrelative="t"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ocumentProtection w:formatting=&quot;on&quot; w:enforcement=&quot;off&quot;/&gt;&lt;w:defaultTabStop w:val=&quot;420&quot;/&gt;&lt;w:drawingGridHorizontalSpacing w:val=&quot;105&quot;/&gt;&lt;w:drawingGridVerticalSpacing w:val=&quot;156&quot;/&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035925&quot;/&gt;&lt;wsp:rsid wsp:val=&quot;00000244&quot;/&gt;&lt;wsp:rsid wsp:val=&quot;0000185F&quot;/&gt;&lt;wsp:rsid wsp:val=&quot;0000586F&quot;/&gt;&lt;wsp:rsid wsp:val=&quot;00013D86&quot;/&gt;&lt;wsp:rsid wsp:val=&quot;00013E02&quot;/&gt;&lt;wsp:rsid wsp:val=&quot;000149CE&quot;/&gt;&lt;wsp:rsid wsp:val=&quot;00015223&quot;/&gt;&lt;wsp:rsid wsp:val=&quot;00017B36&quot;/&gt;&lt;wsp:rsid wsp:val=&quot;00021083&quot;/&gt;&lt;wsp:rsid wsp:val=&quot;0002143C&quot;/&gt;&lt;wsp:rsid wsp:val=&quot;00025A65&quot;/&gt;&lt;wsp:rsid wsp:val=&quot;00026067&quot;/&gt;&lt;wsp:rsid wsp:val=&quot;00026C31&quot;/&gt;&lt;wsp:rsid wsp:val=&quot;00027280&quot;/&gt;&lt;wsp:rsid wsp:val=&quot;00031108&quot;/&gt;&lt;wsp:rsid wsp:val=&quot;00031AF1&quot;/&gt;&lt;wsp:rsid wsp:val=&quot;00031F97&quot;/&gt;&lt;wsp:rsid wsp:val=&quot;000320A7&quot;/&gt;&lt;wsp:rsid wsp:val=&quot;00033479&quot;/&gt;&lt;wsp:rsid wsp:val=&quot;0003537B&quot;/&gt;&lt;wsp:rsid wsp:val=&quot;00035925&quot;/&gt;&lt;wsp:rsid wsp:val=&quot;00036425&quot;/&gt;&lt;wsp:rsid wsp:val=&quot;00037C96&quot;/&gt;&lt;wsp:rsid wsp:val=&quot;0004018A&quot;/&gt;&lt;wsp:rsid wsp:val=&quot;00041770&quot;/&gt;&lt;wsp:rsid wsp:val=&quot;00043409&quot;/&gt;&lt;wsp:rsid wsp:val=&quot;00054C81&quot;/&gt;&lt;wsp:rsid wsp:val=&quot;00054CFC&quot;/&gt;&lt;wsp:rsid wsp:val=&quot;000550EA&quot;/&gt;&lt;wsp:rsid wsp:val=&quot;00055227&quot;/&gt;&lt;wsp:rsid wsp:val=&quot;00060171&quot;/&gt;&lt;wsp:rsid wsp:val=&quot;000605C8&quot;/&gt;&lt;wsp:rsid wsp:val=&quot;00062B84&quot;/&gt;&lt;wsp:rsid wsp:val=&quot;0006314B&quot;/&gt;&lt;wsp:rsid wsp:val=&quot;00063239&quot;/&gt;&lt;wsp:rsid wsp:val=&quot;00063BA6&quot;/&gt;&lt;wsp:rsid wsp:val=&quot;00067CDF&quot;/&gt;&lt;wsp:rsid wsp:val=&quot;00067E5F&quot;/&gt;&lt;wsp:rsid wsp:val=&quot;000735BA&quot;/&gt;&lt;wsp:rsid wsp:val=&quot;00074FBE&quot;/&gt;&lt;wsp:rsid wsp:val=&quot;00083A09&quot;/&gt;&lt;wsp:rsid wsp:val=&quot;000852D2&quot;/&gt;&lt;wsp:rsid wsp:val=&quot;0009005E&quot;/&gt;&lt;wsp:rsid wsp:val=&quot;000900D0&quot;/&gt;&lt;wsp:rsid wsp:val=&quot;00092857&quot;/&gt;&lt;wsp:rsid wsp:val=&quot;00092B99&quot;/&gt;&lt;wsp:rsid wsp:val=&quot;000932BE&quot;/&gt;&lt;wsp:rsid wsp:val=&quot;00095222&quot;/&gt;&lt;wsp:rsid wsp:val=&quot;00095F33&quot;/&gt;&lt;wsp:rsid wsp:val=&quot;00096A91&quot;/&gt;&lt;wsp:rsid wsp:val=&quot;000A0ADF&quot;/&gt;&lt;wsp:rsid wsp:val=&quot;000A1B6C&quot;/&gt;&lt;wsp:rsid wsp:val=&quot;000A20A9&quot;/&gt;&lt;wsp:rsid wsp:val=&quot;000A229B&quot;/&gt;&lt;wsp:rsid wsp:val=&quot;000A360C&quot;/&gt;&lt;wsp:rsid wsp:val=&quot;000A48B1&quot;/&gt;&lt;wsp:rsid wsp:val=&quot;000B2B39&quot;/&gt;&lt;wsp:rsid wsp:val=&quot;000B3143&quot;/&gt;&lt;wsp:rsid wsp:val=&quot;000B3523&quot;/&gt;&lt;wsp:rsid wsp:val=&quot;000B3AE2&quot;/&gt;&lt;wsp:rsid wsp:val=&quot;000B6104&quot;/&gt;&lt;wsp:rsid wsp:val=&quot;000B77B3&quot;/&gt;&lt;wsp:rsid wsp:val=&quot;000C52B0&quot;/&gt;&lt;wsp:rsid wsp:val=&quot;000C6B05&quot;/&gt;&lt;wsp:rsid wsp:val=&quot;000C6DD6&quot;/&gt;&lt;wsp:rsid wsp:val=&quot;000C73D4&quot;/&gt;&lt;wsp:rsid wsp:val=&quot;000D063F&quot;/&gt;&lt;wsp:rsid wsp:val=&quot;000D3D4C&quot;/&gt;&lt;wsp:rsid wsp:val=&quot;000D4B72&quot;/&gt;&lt;wsp:rsid wsp:val=&quot;000D4F51&quot;/&gt;&lt;wsp:rsid wsp:val=&quot;000D718B&quot;/&gt;&lt;wsp:rsid wsp:val=&quot;000E081D&quot;/&gt;&lt;wsp:rsid wsp:val=&quot;000E0C46&quot;/&gt;&lt;wsp:rsid wsp:val=&quot;000E391C&quot;/&gt;&lt;wsp:rsid wsp:val=&quot;000E482A&quot;/&gt;&lt;wsp:rsid wsp:val=&quot;000E6CE1&quot;/&gt;&lt;wsp:rsid wsp:val=&quot;000F030C&quot;/&gt;&lt;wsp:rsid wsp:val=&quot;000F129C&quot;/&gt;&lt;wsp:rsid wsp:val=&quot;000F5D7A&quot;/&gt;&lt;wsp:rsid wsp:val=&quot;000F6A2C&quot;/&gt;&lt;wsp:rsid wsp:val=&quot;0010017C&quot;/&gt;&lt;wsp:rsid wsp:val=&quot;00100DFE&quot;/&gt;&lt;wsp:rsid wsp:val=&quot;00101C30&quot;/&gt;&lt;wsp:rsid wsp:val=&quot;00105209&quot;/&gt;&lt;wsp:rsid wsp:val=&quot;001056D0&quot;/&gt;&lt;wsp:rsid wsp:val=&quot;001056DE&quot;/&gt;&lt;wsp:rsid wsp:val=&quot;00106C8E&quot;/&gt;&lt;wsp:rsid wsp:val=&quot;0011073E&quot;/&gt;&lt;wsp:rsid wsp:val=&quot;00110798&quot;/&gt;&lt;wsp:rsid wsp:val=&quot;00111270&quot;/&gt;&lt;wsp:rsid wsp:val=&quot;001124C0&quot;/&gt;&lt;wsp:rsid wsp:val=&quot;001138B5&quot;/&gt;&lt;wsp:rsid wsp:val=&quot;00113D21&quot;/&gt;&lt;wsp:rsid wsp:val=&quot;00120300&quot;/&gt;&lt;wsp:rsid wsp:val=&quot;00121D5D&quot;/&gt;&lt;wsp:rsid wsp:val=&quot;0012326C&quot;/&gt;&lt;wsp:rsid wsp:val=&quot;001241AB&quot;/&gt;&lt;wsp:rsid wsp:val=&quot;00124396&quot;/&gt;&lt;wsp:rsid wsp:val=&quot;001301CB&quot;/&gt;&lt;wsp:rsid wsp:val=&quot;001305CB&quot;/&gt;&lt;wsp:rsid wsp:val=&quot;0013175F&quot;/&gt;&lt;wsp:rsid wsp:val=&quot;00131A0A&quot;/&gt;&lt;wsp:rsid wsp:val=&quot;001333A3&quot;/&gt;&lt;wsp:rsid wsp:val=&quot;001366BB&quot;/&gt;&lt;wsp:rsid wsp:val=&quot;00136C67&quot;/&gt;&lt;wsp:rsid wsp:val=&quot;00140480&quot;/&gt;&lt;wsp:rsid wsp:val=&quot;0014127F&quot;/&gt;&lt;wsp:rsid wsp:val=&quot;00141451&quot;/&gt;&lt;wsp:rsid wsp:val=&quot;001427B2&quot;/&gt;&lt;wsp:rsid wsp:val=&quot;001512B4&quot;/&gt;&lt;wsp:rsid wsp:val=&quot;00153B06&quot;/&gt;&lt;wsp:rsid wsp:val=&quot;00160346&quot;/&gt;&lt;wsp:rsid wsp:val=&quot;001620A5&quot;/&gt;&lt;wsp:rsid wsp:val=&quot;00162BAE&quot;/&gt;&lt;wsp:rsid wsp:val=&quot;0016323B&quot;/&gt;&lt;wsp:rsid wsp:val=&quot;00163CAC&quot;/&gt;&lt;wsp:rsid wsp:val=&quot;0016421B&quot;/&gt;&lt;wsp:rsid wsp:val=&quot;00164E53&quot;/&gt;&lt;wsp:rsid wsp:val=&quot;0016699D&quot;/&gt;&lt;wsp:rsid wsp:val=&quot;00171605&quot;/&gt;&lt;wsp:rsid wsp:val=&quot;00175159&quot;/&gt;&lt;wsp:rsid wsp:val=&quot;00176208&quot;/&gt;&lt;wsp:rsid wsp:val=&quot;0018211B&quot;/&gt;&lt;wsp:rsid wsp:val=&quot;0018229E&quot;/&gt;&lt;wsp:rsid wsp:val=&quot;00183F54&quot;/&gt;&lt;wsp:rsid wsp:val=&quot;001840D3&quot;/&gt;&lt;wsp:rsid wsp:val=&quot;001900F8&quot;/&gt;&lt;wsp:rsid wsp:val=&quot;00191258&quot;/&gt;&lt;wsp:rsid wsp:val=&quot;00192680&quot;/&gt;&lt;wsp:rsid wsp:val=&quot;00192ADF&quot;/&gt;&lt;wsp:rsid wsp:val=&quot;00193037&quot;/&gt;&lt;wsp:rsid wsp:val=&quot;00193A2C&quot;/&gt;&lt;wsp:rsid wsp:val=&quot;001A288E&quot;/&gt;&lt;wsp:rsid wsp:val=&quot;001A3EE8&quot;/&gt;&lt;wsp:rsid wsp:val=&quot;001A6BA7&quot;/&gt;&lt;wsp:rsid wsp:val=&quot;001B3BB5&quot;/&gt;&lt;wsp:rsid wsp:val=&quot;001B6DC2&quot;/&gt;&lt;wsp:rsid wsp:val=&quot;001B75C4&quot;/&gt;&lt;wsp:rsid wsp:val=&quot;001B7B60&quot;/&gt;&lt;wsp:rsid wsp:val=&quot;001C149C&quot;/&gt;&lt;wsp:rsid wsp:val=&quot;001C21AC&quot;/&gt;&lt;wsp:rsid wsp:val=&quot;001C398F&quot;/&gt;&lt;wsp:rsid wsp:val=&quot;001C47BA&quot;/&gt;&lt;wsp:rsid wsp:val=&quot;001C59EA&quot;/&gt;&lt;wsp:rsid wsp:val=&quot;001C5EC9&quot;/&gt;&lt;wsp:rsid wsp:val=&quot;001C76DF&quot;/&gt;&lt;wsp:rsid wsp:val=&quot;001D0CE0&quot;/&gt;&lt;wsp:rsid wsp:val=&quot;001D3076&quot;/&gt;&lt;wsp:rsid wsp:val=&quot;001D406C&quot;/&gt;&lt;wsp:rsid wsp:val=&quot;001D40B0&quot;/&gt;&lt;wsp:rsid wsp:val=&quot;001D41EE&quot;/&gt;&lt;wsp:rsid wsp:val=&quot;001E0380&quot;/&gt;&lt;wsp:rsid wsp:val=&quot;001E13B1&quot;/&gt;&lt;wsp:rsid wsp:val=&quot;001E23FD&quot;/&gt;&lt;wsp:rsid wsp:val=&quot;001E500E&quot;/&gt;&lt;wsp:rsid wsp:val=&quot;001F0160&quot;/&gt;&lt;wsp:rsid wsp:val=&quot;001F0B0F&quot;/&gt;&lt;wsp:rsid wsp:val=&quot;001F0E34&quot;/&gt;&lt;wsp:rsid wsp:val=&quot;001F20E2&quot;/&gt;&lt;wsp:rsid wsp:val=&quot;001F39CA&quot;/&gt;&lt;wsp:rsid wsp:val=&quot;001F3A19&quot;/&gt;&lt;wsp:rsid wsp:val=&quot;001F4628&quot;/&gt;&lt;wsp:rsid wsp:val=&quot;0020032D&quot;/&gt;&lt;wsp:rsid wsp:val=&quot;00203535&quot;/&gt;&lt;wsp:rsid wsp:val=&quot;00203FB5&quot;/&gt;&lt;wsp:rsid wsp:val=&quot;00205362&quot;/&gt;&lt;wsp:rsid wsp:val=&quot;00207203&quot;/&gt;&lt;wsp:rsid wsp:val=&quot;002133ED&quot;/&gt;&lt;wsp:rsid wsp:val=&quot;00213489&quot;/&gt;&lt;wsp:rsid wsp:val=&quot;0021427A&quot;/&gt;&lt;wsp:rsid wsp:val=&quot;00216592&quot;/&gt;&lt;wsp:rsid wsp:val=&quot;0022039C&quot;/&gt;&lt;wsp:rsid wsp:val=&quot;0022081C&quot;/&gt;&lt;wsp:rsid wsp:val=&quot;00221E8A&quot;/&gt;&lt;wsp:rsid wsp:val=&quot;00223915&quot;/&gt;&lt;wsp:rsid wsp:val=&quot;00225A60&quot;/&gt;&lt;wsp:rsid wsp:val=&quot;00233089&quot;/&gt;&lt;wsp:rsid wsp:val=&quot;00234467&quot;/&gt;&lt;wsp:rsid wsp:val=&quot;00237D8D&quot;/&gt;&lt;wsp:rsid wsp:val=&quot;002401D9&quot;/&gt;&lt;wsp:rsid wsp:val=&quot;00241DA2&quot;/&gt;&lt;wsp:rsid wsp:val=&quot;0024577C&quot;/&gt;&lt;wsp:rsid wsp:val=&quot;00247FEE&quot;/&gt;&lt;wsp:rsid wsp:val=&quot;00250E7D&quot;/&gt;&lt;wsp:rsid wsp:val=&quot;0025168D&quot;/&gt;&lt;wsp:rsid wsp:val=&quot;0025206C&quot;/&gt;&lt;wsp:rsid wsp:val=&quot;002528BA&quot;/&gt;&lt;wsp:rsid wsp:val=&quot;00252DDA&quot;/&gt;&lt;wsp:rsid wsp:val=&quot;00255BBE&quot;/&gt;&lt;wsp:rsid wsp:val=&quot;002565D5&quot;/&gt;&lt;wsp:rsid wsp:val=&quot;00257D44&quot;/&gt;&lt;wsp:rsid wsp:val=&quot;002603E1&quot;/&gt;&lt;wsp:rsid wsp:val=&quot;002622C0&quot;/&gt;&lt;wsp:rsid wsp:val=&quot;00267864&quot;/&gt;&lt;wsp:rsid wsp:val=&quot;00267AD8&quot;/&gt;&lt;wsp:rsid wsp:val=&quot;00271AA3&quot;/&gt;&lt;wsp:rsid wsp:val=&quot;00272346&quot;/&gt;&lt;wsp:rsid wsp:val=&quot;00273A53&quot;/&gt;&lt;wsp:rsid wsp:val=&quot;00274355&quot;/&gt;&lt;wsp:rsid wsp:val=&quot;002778AE&quot;/&gt;&lt;wsp:rsid wsp:val=&quot;00280E2B&quot;/&gt;&lt;wsp:rsid wsp:val=&quot;00282025&quot;/&gt;&lt;wsp:rsid wsp:val=&quot;0028269A&quot;/&gt;&lt;wsp:rsid wsp:val=&quot;00283590&quot;/&gt;&lt;wsp:rsid wsp:val=&quot;00286223&quot;/&gt;&lt;wsp:rsid wsp:val=&quot;00286973&quot;/&gt;&lt;wsp:rsid wsp:val=&quot;00292080&quot;/&gt;&lt;wsp:rsid wsp:val=&quot;00293E45&quot;/&gt;&lt;wsp:rsid wsp:val=&quot;00294E70&quot;/&gt;&lt;wsp:rsid wsp:val=&quot;002A0CAE&quot;/&gt;&lt;wsp:rsid wsp:val=&quot;002A1924&quot;/&gt;&lt;wsp:rsid wsp:val=&quot;002A638F&quot;/&gt;&lt;wsp:rsid wsp:val=&quot;002A640A&quot;/&gt;&lt;wsp:rsid wsp:val=&quot;002A7420&quot;/&gt;&lt;wsp:rsid wsp:val=&quot;002B052F&quot;/&gt;&lt;wsp:rsid wsp:val=&quot;002B0B56&quot;/&gt;&lt;wsp:rsid wsp:val=&quot;002B0F12&quot;/&gt;&lt;wsp:rsid wsp:val=&quot;002B1308&quot;/&gt;&lt;wsp:rsid wsp:val=&quot;002B4554&quot;/&gt;&lt;wsp:rsid wsp:val=&quot;002B6697&quot;/&gt;&lt;wsp:rsid wsp:val=&quot;002B6E8F&quot;/&gt;&lt;wsp:rsid wsp:val=&quot;002B77C2&quot;/&gt;&lt;wsp:rsid wsp:val=&quot;002C17CC&quot;/&gt;&lt;wsp:rsid wsp:val=&quot;002C36FD&quot;/&gt;&lt;wsp:rsid wsp:val=&quot;002C4D0F&quot;/&gt;&lt;wsp:rsid wsp:val=&quot;002C68CA&quot;/&gt;&lt;wsp:rsid wsp:val=&quot;002C72D8&quot;/&gt;&lt;wsp:rsid wsp:val=&quot;002D11FA&quot;/&gt;&lt;wsp:rsid wsp:val=&quot;002D275F&quot;/&gt;&lt;wsp:rsid wsp:val=&quot;002E0189&quot;/&gt;&lt;wsp:rsid wsp:val=&quot;002E0752&quot;/&gt;&lt;wsp:rsid wsp:val=&quot;002E0DDF&quot;/&gt;&lt;wsp:rsid wsp:val=&quot;002E128D&quot;/&gt;&lt;wsp:rsid wsp:val=&quot;002E2085&quot;/&gt;&lt;wsp:rsid wsp:val=&quot;002E2906&quot;/&gt;&lt;wsp:rsid wsp:val=&quot;002E2B2B&quot;/&gt;&lt;wsp:rsid wsp:val=&quot;002E456A&quot;/&gt;&lt;wsp:rsid wsp:val=&quot;002E5635&quot;/&gt;&lt;wsp:rsid wsp:val=&quot;002E64C3&quot;/&gt;&lt;wsp:rsid wsp:val=&quot;002E6A2C&quot;/&gt;&lt;wsp:rsid wsp:val=&quot;002E6F82&quot;/&gt;&lt;wsp:rsid wsp:val=&quot;002F1D8C&quot;/&gt;&lt;wsp:rsid wsp:val=&quot;002F21DA&quot;/&gt;&lt;wsp:rsid wsp:val=&quot;002F24A5&quot;/&gt;&lt;wsp:rsid wsp:val=&quot;002F2FB4&quot;/&gt;&lt;wsp:rsid wsp:val=&quot;002F43FC&quot;/&gt;&lt;wsp:rsid wsp:val=&quot;002F4921&quot;/&gt;&lt;wsp:rsid wsp:val=&quot;002F494B&quot;/&gt;&lt;wsp:rsid wsp:val=&quot;00300681&quot;/&gt;&lt;wsp:rsid wsp:val=&quot;00300EE4&quot;/&gt;&lt;wsp:rsid wsp:val=&quot;00301F39&quot;/&gt;&lt;wsp:rsid wsp:val=&quot;003053EB&quot;/&gt;&lt;wsp:rsid wsp:val=&quot;003055B9&quot;/&gt;&lt;wsp:rsid wsp:val=&quot;00306214&quot;/&gt;&lt;wsp:rsid wsp:val=&quot;00310430&quot;/&gt;&lt;wsp:rsid wsp:val=&quot;00312F16&quot;/&gt;&lt;wsp:rsid wsp:val=&quot;00316054&quot;/&gt;&lt;wsp:rsid wsp:val=&quot;00316EDF&quot;/&gt;&lt;wsp:rsid wsp:val=&quot;003243B8&quot;/&gt;&lt;wsp:rsid wsp:val=&quot;00325926&quot;/&gt;&lt;wsp:rsid wsp:val=&quot;00327508&quot;/&gt;&lt;wsp:rsid wsp:val=&quot;00327A8A&quot;/&gt;&lt;wsp:rsid wsp:val=&quot;00330669&quot;/&gt;&lt;wsp:rsid wsp:val=&quot;0033114B&quot;/&gt;&lt;wsp:rsid wsp:val=&quot;00332DE7&quot;/&gt;&lt;wsp:rsid wsp:val=&quot;00336135&quot;/&gt;&lt;wsp:rsid wsp:val=&quot;00336610&quot;/&gt;&lt;wsp:rsid wsp:val=&quot;00336E4A&quot;/&gt;&lt;wsp:rsid wsp:val=&quot;003404C8&quot;/&gt;&lt;wsp:rsid wsp:val=&quot;0034052F&quot;/&gt;&lt;wsp:rsid wsp:val=&quot;0034341C&quot;/&gt;&lt;wsp:rsid wsp:val=&quot;00343F73&quot;/&gt;&lt;wsp:rsid wsp:val=&quot;00345060&quot;/&gt;&lt;wsp:rsid wsp:val=&quot;00345585&quot;/&gt;&lt;wsp:rsid wsp:val=&quot;00345F8C&quot;/&gt;&lt;wsp:rsid wsp:val=&quot;003463CA&quot;/&gt;&lt;wsp:rsid wsp:val=&quot;00347290&quot;/&gt;&lt;wsp:rsid wsp:val=&quot;00350D62&quot;/&gt;&lt;wsp:rsid wsp:val=&quot;0035121E&quot;/&gt;&lt;wsp:rsid wsp:val=&quot;003518D2&quot;/&gt;&lt;wsp:rsid wsp:val=&quot;0035323B&quot;/&gt;&lt;wsp:rsid wsp:val=&quot;00355B58&quot;/&gt;&lt;wsp:rsid wsp:val=&quot;0035658D&quot;/&gt;&lt;wsp:rsid wsp:val=&quot;00356D95&quot;/&gt;&lt;wsp:rsid wsp:val=&quot;00356E2E&quot;/&gt;&lt;wsp:rsid wsp:val=&quot;0036068F&quot;/&gt;&lt;wsp:rsid wsp:val=&quot;003606DF&quot;/&gt;&lt;wsp:rsid wsp:val=&quot;003609D2&quot;/&gt;&lt;wsp:rsid wsp:val=&quot;00363F22&quot;/&gt;&lt;wsp:rsid wsp:val=&quot;003647D3&quot;/&gt;&lt;wsp:rsid wsp:val=&quot;003669C5&quot;/&gt;&lt;wsp:rsid wsp:val=&quot;003702D3&quot;/&gt;&lt;wsp:rsid wsp:val=&quot;00370872&quot;/&gt;&lt;wsp:rsid wsp:val=&quot;00375564&quot;/&gt;&lt;wsp:rsid wsp:val=&quot;003755EB&quot;/&gt;&lt;wsp:rsid wsp:val=&quot;0037710C&quot;/&gt;&lt;wsp:rsid wsp:val=&quot;003824D7&quot;/&gt;&lt;wsp:rsid wsp:val=&quot;00383191&quot;/&gt;&lt;wsp:rsid wsp:val=&quot;003850B3&quot;/&gt;&lt;wsp:rsid wsp:val=&quot;00386DED&quot;/&gt;&lt;wsp:rsid wsp:val=&quot;00390567&quot;/&gt;&lt;wsp:rsid wsp:val=&quot;003912E7&quot;/&gt;&lt;wsp:rsid wsp:val=&quot;00392A4F&quot;/&gt;&lt;wsp:rsid wsp:val=&quot;00393947&quot;/&gt;&lt;wsp:rsid wsp:val=&quot;003941C8&quot;/&gt;&lt;wsp:rsid wsp:val=&quot;00394A9C&quot;/&gt;&lt;wsp:rsid wsp:val=&quot;0039694A&quot;/&gt;&lt;wsp:rsid wsp:val=&quot;00397E5C&quot;/&gt;&lt;wsp:rsid wsp:val=&quot;003A21CA&quot;/&gt;&lt;wsp:rsid wsp:val=&quot;003A2275&quot;/&gt;&lt;wsp:rsid wsp:val=&quot;003A3001&quot;/&gt;&lt;wsp:rsid wsp:val=&quot;003A5BC3&quot;/&gt;&lt;wsp:rsid wsp:val=&quot;003A6A4F&quot;/&gt;&lt;wsp:rsid wsp:val=&quot;003A7088&quot;/&gt;&lt;wsp:rsid wsp:val=&quot;003B00DF&quot;/&gt;&lt;wsp:rsid wsp:val=&quot;003B1275&quot;/&gt;&lt;wsp:rsid wsp:val=&quot;003B1681&quot;/&gt;&lt;wsp:rsid wsp:val=&quot;003B1778&quot;/&gt;&lt;wsp:rsid wsp:val=&quot;003B38CF&quot;/&gt;&lt;wsp:rsid wsp:val=&quot;003B5865&quot;/&gt;&lt;wsp:rsid wsp:val=&quot;003C11CB&quot;/&gt;&lt;wsp:rsid wsp:val=&quot;003C5C63&quot;/&gt;&lt;wsp:rsid wsp:val=&quot;003C75F3&quot;/&gt;&lt;wsp:rsid wsp:val=&quot;003C78A3&quot;/&gt;&lt;wsp:rsid wsp:val=&quot;003D1F1C&quot;/&gt;&lt;wsp:rsid wsp:val=&quot;003D3AB1&quot;/&gt;&lt;wsp:rsid wsp:val=&quot;003D4AB2&quot;/&gt;&lt;wsp:rsid wsp:val=&quot;003D5747&quot;/&gt;&lt;wsp:rsid wsp:val=&quot;003D575A&quot;/&gt;&lt;wsp:rsid wsp:val=&quot;003D7B40&quot;/&gt;&lt;wsp:rsid wsp:val=&quot;003E0CB2&quot;/&gt;&lt;wsp:rsid wsp:val=&quot;003E1867&quot;/&gt;&lt;wsp:rsid wsp:val=&quot;003E5729&quot;/&gt;&lt;wsp:rsid wsp:val=&quot;003E68F7&quot;/&gt;&lt;wsp:rsid wsp:val=&quot;003E751D&quot;/&gt;&lt;wsp:rsid wsp:val=&quot;003E7C1D&quot;/&gt;&lt;wsp:rsid wsp:val=&quot;003F08CA&quot;/&gt;&lt;wsp:rsid wsp:val=&quot;003F0F0B&quot;/&gt;&lt;wsp:rsid wsp:val=&quot;003F22EF&quot;/&gt;&lt;wsp:rsid wsp:val=&quot;003F4EE0&quot;/&gt;&lt;wsp:rsid wsp:val=&quot;003F5CB8&quot;/&gt;&lt;wsp:rsid wsp:val=&quot;004002CF&quot;/&gt;&lt;wsp:rsid wsp:val=&quot;00402153&quot;/&gt;&lt;wsp:rsid wsp:val=&quot;00402566&quot;/&gt;&lt;wsp:rsid wsp:val=&quot;00402C69&quot;/&gt;&lt;wsp:rsid wsp:val=&quot;00402FC1&quot;/&gt;&lt;wsp:rsid wsp:val=&quot;00413177&quot;/&gt;&lt;wsp:rsid wsp:val=&quot;0041454B&quot;/&gt;&lt;wsp:rsid wsp:val=&quot;00415D56&quot;/&gt;&lt;wsp:rsid wsp:val=&quot;00425082&quot;/&gt;&lt;wsp:rsid wsp:val=&quot;004265CA&quot;/&gt;&lt;wsp:rsid wsp:val=&quot;00431DEB&quot;/&gt;&lt;wsp:rsid wsp:val=&quot;00436AB7&quot;/&gt;&lt;wsp:rsid wsp:val=&quot;004408EF&quot;/&gt;&lt;wsp:rsid wsp:val=&quot;00443C9C&quot;/&gt;&lt;wsp:rsid wsp:val=&quot;00444594&quot;/&gt;&lt;wsp:rsid wsp:val=&quot;004448F1&quot;/&gt;&lt;wsp:rsid wsp:val=&quot;00444F76&quot;/&gt;&lt;wsp:rsid wsp:val=&quot;00445340&quot;/&gt;&lt;wsp:rsid wsp:val=&quot;00446B29&quot;/&gt;&lt;wsp:rsid wsp:val=&quot;00451250&quot;/&gt;&lt;wsp:rsid wsp:val=&quot;004538CF&quot;/&gt;&lt;wsp:rsid wsp:val=&quot;00453F9A&quot;/&gt;&lt;wsp:rsid wsp:val=&quot;004548E1&quot;/&gt;&lt;wsp:rsid wsp:val=&quot;00455FD2&quot;/&gt;&lt;wsp:rsid wsp:val=&quot;00456E8C&quot;/&gt;&lt;wsp:rsid wsp:val=&quot;004602B6&quot;/&gt;&lt;wsp:rsid wsp:val=&quot;00466207&quot;/&gt;&lt;wsp:rsid wsp:val=&quot;004711BE&quot;/&gt;&lt;wsp:rsid wsp:val=&quot;00471E91&quot;/&gt;&lt;wsp:rsid wsp:val=&quot;00474675&quot;/&gt;&lt;wsp:rsid wsp:val=&quot;0047470C&quot;/&gt;&lt;wsp:rsid wsp:val=&quot;004750CB&quot;/&gt;&lt;wsp:rsid wsp:val=&quot;00477788&quot;/&gt;&lt;wsp:rsid wsp:val=&quot;00480BD8&quot;/&gt;&lt;wsp:rsid wsp:val=&quot;00482055&quot;/&gt;&lt;wsp:rsid wsp:val=&quot;004825AF&quot;/&gt;&lt;wsp:rsid wsp:val=&quot;00484A6C&quot;/&gt;&lt;wsp:rsid wsp:val=&quot;00485072&quot;/&gt;&lt;wsp:rsid wsp:val=&quot;004851EE&quot;/&gt;&lt;wsp:rsid wsp:val=&quot;00485588&quot;/&gt;&lt;wsp:rsid wsp:val=&quot;00491244&quot;/&gt;&lt;wsp:rsid wsp:val=&quot;004933FA&quot;/&gt;&lt;wsp:rsid wsp:val=&quot;004A019D&quot;/&gt;&lt;wsp:rsid wsp:val=&quot;004A1677&quot;/&gt;&lt;wsp:rsid wsp:val=&quot;004A214E&quot;/&gt;&lt;wsp:rsid wsp:val=&quot;004A3276&quot;/&gt;&lt;wsp:rsid wsp:val=&quot;004A35F9&quot;/&gt;&lt;wsp:rsid wsp:val=&quot;004A6EFD&quot;/&gt;&lt;wsp:rsid wsp:val=&quot;004B183F&quot;/&gt;&lt;wsp:rsid wsp:val=&quot;004B24C1&quot;/&gt;&lt;wsp:rsid wsp:val=&quot;004B4373&quot;/&gt;&lt;wsp:rsid wsp:val=&quot;004B5BAA&quot;/&gt;&lt;wsp:rsid wsp:val=&quot;004C276B&quot;/&gt;&lt;wsp:rsid wsp:val=&quot;004C292F&quot;/&gt;&lt;wsp:rsid wsp:val=&quot;004C47BF&quot;/&gt;&lt;wsp:rsid wsp:val=&quot;004C6F71&quot;/&gt;&lt;wsp:rsid wsp:val=&quot;004D325B&quot;/&gt;&lt;wsp:rsid wsp:val=&quot;004D54A7&quot;/&gt;&lt;wsp:rsid wsp:val=&quot;004D751B&quot;/&gt;&lt;wsp:rsid wsp:val=&quot;004D7B61&quot;/&gt;&lt;wsp:rsid wsp:val=&quot;004D7C08&quot;/&gt;&lt;wsp:rsid wsp:val=&quot;004E0B03&quot;/&gt;&lt;wsp:rsid wsp:val=&quot;004E2791&quot;/&gt;&lt;wsp:rsid wsp:val=&quot;004E4849&quot;/&gt;&lt;wsp:rsid wsp:val=&quot;004E61A5&quot;/&gt;&lt;wsp:rsid wsp:val=&quot;004F08F6&quot;/&gt;&lt;wsp:rsid wsp:val=&quot;004F3F20&quot;/&gt;&lt;wsp:rsid wsp:val=&quot;004F6642&quot;/&gt;&lt;wsp:rsid wsp:val=&quot;004F7CBC&quot;/&gt;&lt;wsp:rsid wsp:val=&quot;004F7DE2&quot;/&gt;&lt;wsp:rsid wsp:val=&quot;005002CD&quot;/&gt;&lt;wsp:rsid wsp:val=&quot;0050662E&quot;/&gt;&lt;wsp:rsid wsp:val=&quot;00506D22&quot;/&gt;&lt;wsp:rsid wsp:val=&quot;00510280&quot;/&gt;&lt;wsp:rsid wsp:val=&quot;005106D0&quot;/&gt;&lt;wsp:rsid wsp:val=&quot;00512626&quot;/&gt;&lt;wsp:rsid wsp:val=&quot;00513D73&quot;/&gt;&lt;wsp:rsid wsp:val=&quot;005141E8&quot;/&gt;&lt;wsp:rsid wsp:val=&quot;00514A43&quot;/&gt;&lt;wsp:rsid wsp:val=&quot;005174E5&quot;/&gt;&lt;wsp:rsid wsp:val=&quot;00522393&quot;/&gt;&lt;wsp:rsid wsp:val=&quot;00522620&quot;/&gt;&lt;wsp:rsid wsp:val=&quot;0052352C&quot;/&gt;&lt;wsp:rsid wsp:val=&quot;00525656&quot;/&gt;&lt;wsp:rsid wsp:val=&quot;00526CE5&quot;/&gt;&lt;wsp:rsid wsp:val=&quot;0052716C&quot;/&gt;&lt;wsp:rsid wsp:val=&quot;005272D4&quot;/&gt;&lt;wsp:rsid wsp:val=&quot;0053176A&quot;/&gt;&lt;wsp:rsid wsp:val=&quot;00534C02&quot;/&gt;&lt;wsp:rsid wsp:val=&quot;005362B3&quot;/&gt;&lt;wsp:rsid wsp:val=&quot;0053784E&quot;/&gt;&lt;wsp:rsid wsp:val=&quot;0054264B&quot;/&gt;&lt;wsp:rsid wsp:val=&quot;00543786&quot;/&gt;&lt;wsp:rsid wsp:val=&quot;005518F3&quot;/&gt;&lt;wsp:rsid wsp:val=&quot;00552AD7&quot;/&gt;&lt;wsp:rsid wsp:val=&quot;005533D7&quot;/&gt;&lt;wsp:rsid wsp:val=&quot;00553FE7&quot;/&gt;&lt;wsp:rsid wsp:val=&quot;005551AA&quot;/&gt;&lt;wsp:rsid wsp:val=&quot;00556F87&quot;/&gt;&lt;wsp:rsid wsp:val=&quot;00561468&quot;/&gt;&lt;wsp:rsid wsp:val=&quot;00561E04&quot;/&gt;&lt;wsp:rsid wsp:val=&quot;005641C8&quot;/&gt;&lt;wsp:rsid wsp:val=&quot;00566F01&quot;/&gt;&lt;wsp:rsid wsp:val=&quot;005676ED&quot;/&gt;&lt;wsp:rsid wsp:val=&quot;005703DE&quot;/&gt;&lt;wsp:rsid wsp:val=&quot;005712A3&quot;/&gt;&lt;wsp:rsid wsp:val=&quot;00573EE6&quot;/&gt;&lt;wsp:rsid wsp:val=&quot;00575F87&quot;/&gt;&lt;wsp:rsid wsp:val=&quot;00584216&quot;/&gt;&lt;wsp:rsid wsp:val=&quot;0058464E&quot;/&gt;&lt;wsp:rsid wsp:val=&quot;005919E4&quot;/&gt;&lt;wsp:rsid wsp:val=&quot;00591A5B&quot;/&gt;&lt;wsp:rsid wsp:val=&quot;0059307E&quot;/&gt;&lt;wsp:rsid wsp:val=&quot;0059356D&quot;/&gt;&lt;wsp:rsid wsp:val=&quot;005937F3&quot;/&gt;&lt;wsp:rsid wsp:val=&quot;005948EC&quot;/&gt;&lt;wsp:rsid wsp:val=&quot;005A01CB&quot;/&gt;&lt;wsp:rsid wsp:val=&quot;005A04A0&quot;/&gt;&lt;wsp:rsid wsp:val=&quot;005A19BA&quot;/&gt;&lt;wsp:rsid wsp:val=&quot;005A58FF&quot;/&gt;&lt;wsp:rsid wsp:val=&quot;005A5EAF&quot;/&gt;&lt;wsp:rsid wsp:val=&quot;005A64C0&quot;/&gt;&lt;wsp:rsid wsp:val=&quot;005B3C11&quot;/&gt;&lt;wsp:rsid wsp:val=&quot;005B5179&quot;/&gt;&lt;wsp:rsid wsp:val=&quot;005C15D2&quot;/&gt;&lt;wsp:rsid wsp:val=&quot;005C192E&quot;/&gt;&lt;wsp:rsid wsp:val=&quot;005C1C28&quot;/&gt;&lt;wsp:rsid wsp:val=&quot;005C2311&quot;/&gt;&lt;wsp:rsid wsp:val=&quot;005C625D&quot;/&gt;&lt;wsp:rsid wsp:val=&quot;005C6435&quot;/&gt;&lt;wsp:rsid wsp:val=&quot;005C6DB5&quot;/&gt;&lt;wsp:rsid wsp:val=&quot;005C7ACD&quot;/&gt;&lt;wsp:rsid wsp:val=&quot;005C7AEB&quot;/&gt;&lt;wsp:rsid wsp:val=&quot;005D1954&quot;/&gt;&lt;wsp:rsid wsp:val=&quot;005D65E8&quot;/&gt;&lt;wsp:rsid wsp:val=&quot;005E0C9D&quot;/&gt;&lt;wsp:rsid wsp:val=&quot;005E19E7&quot;/&gt;&lt;wsp:rsid wsp:val=&quot;005E7762&quot;/&gt;&lt;wsp:rsid wsp:val=&quot;005F28FA&quot;/&gt;&lt;wsp:rsid wsp:val=&quot;0060430C&quot;/&gt;&lt;wsp:rsid wsp:val=&quot;00604664&quot;/&gt;&lt;wsp:rsid wsp:val=&quot;0060588B&quot;/&gt;&lt;wsp:rsid wsp:val=&quot;00613745&quot;/&gt;&lt;wsp:rsid wsp:val=&quot;0061716C&quot;/&gt;&lt;wsp:rsid wsp:val=&quot;00617D71&quot;/&gt;&lt;wsp:rsid wsp:val=&quot;0062005A&quot;/&gt;&lt;wsp:rsid wsp:val=&quot;00622E7D&quot;/&gt;&lt;wsp:rsid wsp:val=&quot;00622FEB&quot;/&gt;&lt;wsp:rsid wsp:val=&quot;006243A1&quot;/&gt;&lt;wsp:rsid wsp:val=&quot;006272FC&quot;/&gt;&lt;wsp:rsid wsp:val=&quot;00632E56&quot;/&gt;&lt;wsp:rsid wsp:val=&quot;00634470&quot;/&gt;&lt;wsp:rsid wsp:val=&quot;00635165&quot;/&gt;&lt;wsp:rsid wsp:val=&quot;00635CBA&quot;/&gt;&lt;wsp:rsid wsp:val=&quot;00641429&quot;/&gt;&lt;wsp:rsid wsp:val=&quot;0064338B&quot;/&gt;&lt;wsp:rsid wsp:val=&quot;00643E49&quot;/&gt;&lt;wsp:rsid wsp:val=&quot;00644E7F&quot;/&gt;&lt;wsp:rsid wsp:val=&quot;006451BE&quot;/&gt;&lt;wsp:rsid wsp:val=&quot;00645D3E&quot;/&gt;&lt;wsp:rsid wsp:val=&quot;00645DDD&quot;/&gt;&lt;wsp:rsid wsp:val=&quot;00646542&quot;/&gt;&lt;wsp:rsid wsp:val=&quot;006477AB&quot;/&gt;&lt;wsp:rsid wsp:val=&quot;00647FF2&quot;/&gt;&lt;wsp:rsid wsp:val=&quot;006504F4&quot;/&gt;&lt;wsp:rsid wsp:val=&quot;00650A54&quot;/&gt;&lt;wsp:rsid wsp:val=&quot;00651E92&quot;/&gt;&lt;wsp:rsid wsp:val=&quot;00653F69&quot;/&gt;&lt;wsp:rsid wsp:val=&quot;00654BC9&quot;/&gt;&lt;wsp:rsid wsp:val=&quot;00655110&quot;/&gt;&lt;wsp:rsid wsp:val=&quot;006552FD&quot;/&gt;&lt;wsp:rsid wsp:val=&quot;00661843&quot;/&gt;&lt;wsp:rsid wsp:val=&quot;00661B2B&quot;/&gt;&lt;wsp:rsid wsp:val=&quot;0066365F&quot;/&gt;&lt;wsp:rsid wsp:val=&quot;00663AF3&quot;/&gt;&lt;wsp:rsid wsp:val=&quot;00666B6C&quot;/&gt;&lt;wsp:rsid wsp:val=&quot;00666FAF&quot;/&gt;&lt;wsp:rsid wsp:val=&quot;00667C6E&quot;/&gt;&lt;wsp:rsid wsp:val=&quot;00673EF0&quot;/&gt;&lt;wsp:rsid wsp:val=&quot;00682300&quot;/&gt;&lt;wsp:rsid wsp:val=&quot;00682682&quot;/&gt;&lt;wsp:rsid wsp:val=&quot;00682702&quot;/&gt;&lt;wsp:rsid wsp:val=&quot;00683D0A&quot;/&gt;&lt;wsp:rsid wsp:val=&quot;00685DC3&quot;/&gt;&lt;wsp:rsid wsp:val=&quot;00686381&quot;/&gt;&lt;wsp:rsid wsp:val=&quot;006878D3&quot;/&gt;&lt;wsp:rsid wsp:val=&quot;00692368&quot;/&gt;&lt;wsp:rsid wsp:val=&quot;006A0A84&quot;/&gt;&lt;wsp:rsid wsp:val=&quot;006A15C9&quot;/&gt;&lt;wsp:rsid wsp:val=&quot;006A26E2&quot;/&gt;&lt;wsp:rsid wsp:val=&quot;006A2EBC&quot;/&gt;&lt;wsp:rsid wsp:val=&quot;006A5EA0&quot;/&gt;&lt;wsp:rsid wsp:val=&quot;006A5F6C&quot;/&gt;&lt;wsp:rsid wsp:val=&quot;006A783B&quot;/&gt;&lt;wsp:rsid wsp:val=&quot;006A7B33&quot;/&gt;&lt;wsp:rsid wsp:val=&quot;006B1E5D&quot;/&gt;&lt;wsp:rsid wsp:val=&quot;006B2AF8&quot;/&gt;&lt;wsp:rsid wsp:val=&quot;006B3928&quot;/&gt;&lt;wsp:rsid wsp:val=&quot;006B4CE6&quot;/&gt;&lt;wsp:rsid wsp:val=&quot;006B4E13&quot;/&gt;&lt;wsp:rsid wsp:val=&quot;006B4E8E&quot;/&gt;&lt;wsp:rsid wsp:val=&quot;006B75DD&quot;/&gt;&lt;wsp:rsid wsp:val=&quot;006C07BB&quot;/&gt;&lt;wsp:rsid wsp:val=&quot;006C2A67&quot;/&gt;&lt;wsp:rsid wsp:val=&quot;006C37DB&quot;/&gt;&lt;wsp:rsid wsp:val=&quot;006C4B22&quot;/&gt;&lt;wsp:rsid wsp:val=&quot;006C67E0&quot;/&gt;&lt;wsp:rsid wsp:val=&quot;006C7ABA&quot;/&gt;&lt;wsp:rsid wsp:val=&quot;006D0D60&quot;/&gt;&lt;wsp:rsid wsp:val=&quot;006D1122&quot;/&gt;&lt;wsp:rsid wsp:val=&quot;006D211E&quot;/&gt;&lt;wsp:rsid wsp:val=&quot;006D3C00&quot;/&gt;&lt;wsp:rsid wsp:val=&quot;006D684B&quot;/&gt;&lt;wsp:rsid wsp:val=&quot;006D6A91&quot;/&gt;&lt;wsp:rsid wsp:val=&quot;006D7A02&quot;/&gt;&lt;wsp:rsid wsp:val=&quot;006E3675&quot;/&gt;&lt;wsp:rsid wsp:val=&quot;006E3933&quot;/&gt;&lt;wsp:rsid wsp:val=&quot;006E4679&quot;/&gt;&lt;wsp:rsid wsp:val=&quot;006E48BA&quot;/&gt;&lt;wsp:rsid wsp:val=&quot;006E4A7F&quot;/&gt;&lt;wsp:rsid wsp:val=&quot;006E5213&quot;/&gt;&lt;wsp:rsid wsp:val=&quot;006E69CE&quot;/&gt;&lt;wsp:rsid wsp:val=&quot;006F3D44&quot;/&gt;&lt;wsp:rsid wsp:val=&quot;006F5218&quot;/&gt;&lt;wsp:rsid wsp:val=&quot;006F618A&quot;/&gt;&lt;wsp:rsid wsp:val=&quot;0070327E&quot;/&gt;&lt;wsp:rsid wsp:val=&quot;00704926&quot;/&gt;&lt;wsp:rsid wsp:val=&quot;00704DF6&quot;/&gt;&lt;wsp:rsid wsp:val=&quot;0070651C&quot;/&gt;&lt;wsp:rsid wsp:val=&quot;0071173B&quot;/&gt;&lt;wsp:rsid wsp:val=&quot;007132A3&quot;/&gt;&lt;wsp:rsid wsp:val=&quot;00716421&quot;/&gt;&lt;wsp:rsid wsp:val=&quot;00716AAA&quot;/&gt;&lt;wsp:rsid wsp:val=&quot;00716BE0&quot;/&gt;&lt;wsp:rsid wsp:val=&quot;00720C77&quot;/&gt;&lt;wsp:rsid wsp:val=&quot;007246A5&quot;/&gt;&lt;wsp:rsid wsp:val=&quot;0072482F&quot;/&gt;&lt;wsp:rsid wsp:val=&quot;00724EFB&quot;/&gt;&lt;wsp:rsid wsp:val=&quot;0072744D&quot;/&gt;&lt;wsp:rsid wsp:val=&quot;00727AA4&quot;/&gt;&lt;wsp:rsid wsp:val=&quot;007350B5&quot;/&gt;&lt;wsp:rsid wsp:val=&quot;007370EB&quot;/&gt;&lt;wsp:rsid wsp:val=&quot;0074193B&quot;/&gt;&lt;wsp:rsid wsp:val=&quot;007419C3&quot;/&gt;&lt;wsp:rsid wsp:val=&quot;007423A4&quot;/&gt;&lt;wsp:rsid wsp:val=&quot;007467A7&quot;/&gt;&lt;wsp:rsid wsp:val=&quot;007469DD&quot;/&gt;&lt;wsp:rsid wsp:val=&quot;0074741B&quot;/&gt;&lt;wsp:rsid wsp:val=&quot;0074759E&quot;/&gt;&lt;wsp:rsid wsp:val=&quot;007478EA&quot;/&gt;&lt;wsp:rsid wsp:val=&quot;00752717&quot;/&gt;&lt;wsp:rsid wsp:val=&quot;0075415C&quot;/&gt;&lt;wsp:rsid wsp:val=&quot;00754A91&quot;/&gt;&lt;wsp:rsid wsp:val=&quot;00756C6C&quot;/&gt;&lt;wsp:rsid wsp:val=&quot;00762273&quot;/&gt;&lt;wsp:rsid wsp:val=&quot;00763502&quot;/&gt;&lt;wsp:rsid wsp:val=&quot;007643D3&quot;/&gt;&lt;wsp:rsid wsp:val=&quot;00771775&quot;/&gt;&lt;wsp:rsid wsp:val=&quot;007726CD&quot;/&gt;&lt;wsp:rsid wsp:val=&quot;00773303&quot;/&gt;&lt;wsp:rsid wsp:val=&quot;00773EEB&quot;/&gt;&lt;wsp:rsid wsp:val=&quot;00774F98&quot;/&gt;&lt;wsp:rsid wsp:val=&quot;007812D7&quot;/&gt;&lt;wsp:rsid wsp:val=&quot;007835E8&quot;/&gt;&lt;wsp:rsid wsp:val=&quot;00783F33&quot;/&gt;&lt;wsp:rsid wsp:val=&quot;007913AB&quot;/&gt;&lt;wsp:rsid wsp:val=&quot;007914F7&quot;/&gt;&lt;wsp:rsid wsp:val=&quot;00792A67&quot;/&gt;&lt;wsp:rsid wsp:val=&quot;00793037&quot;/&gt;&lt;wsp:rsid wsp:val=&quot;007971E4&quot;/&gt;&lt;wsp:rsid wsp:val=&quot;00797668&quot;/&gt;&lt;wsp:rsid wsp:val=&quot;007A1157&quot;/&gt;&lt;wsp:rsid wsp:val=&quot;007A2BB9&quot;/&gt;&lt;wsp:rsid wsp:val=&quot;007A348A&quot;/&gt;&lt;wsp:rsid wsp:val=&quot;007A52DB&quot;/&gt;&lt;wsp:rsid wsp:val=&quot;007A7C4F&quot;/&gt;&lt;wsp:rsid wsp:val=&quot;007B1625&quot;/&gt;&lt;wsp:rsid wsp:val=&quot;007B4B4E&quot;/&gt;&lt;wsp:rsid wsp:val=&quot;007B59BD&quot;/&gt;&lt;wsp:rsid wsp:val=&quot;007B6039&quot;/&gt;&lt;wsp:rsid wsp:val=&quot;007B6487&quot;/&gt;&lt;wsp:rsid wsp:val=&quot;007B706E&quot;/&gt;&lt;wsp:rsid wsp:val=&quot;007B71EB&quot;/&gt;&lt;wsp:rsid wsp:val=&quot;007C1F59&quot;/&gt;&lt;wsp:rsid wsp:val=&quot;007C353C&quot;/&gt;&lt;wsp:rsid wsp:val=&quot;007C6205&quot;/&gt;&lt;wsp:rsid wsp:val=&quot;007C686A&quot;/&gt;&lt;wsp:rsid wsp:val=&quot;007C728E&quot;/&gt;&lt;wsp:rsid wsp:val=&quot;007C7FDD&quot;/&gt;&lt;wsp:rsid wsp:val=&quot;007D2C53&quot;/&gt;&lt;wsp:rsid wsp:val=&quot;007D3D60&quot;/&gt;&lt;wsp:rsid wsp:val=&quot;007E05C3&quot;/&gt;&lt;wsp:rsid wsp:val=&quot;007E071A&quot;/&gt;&lt;wsp:rsid wsp:val=&quot;007E1980&quot;/&gt;&lt;wsp:rsid wsp:val=&quot;007E33B2&quot;/&gt;&lt;wsp:rsid wsp:val=&quot;007E4B76&quot;/&gt;&lt;wsp:rsid wsp:val=&quot;007E5EA8&quot;/&gt;&lt;wsp:rsid wsp:val=&quot;007F0121&quot;/&gt;&lt;wsp:rsid wsp:val=&quot;007F0CF1&quot;/&gt;&lt;wsp:rsid wsp:val=&quot;007F12A5&quot;/&gt;&lt;wsp:rsid wsp:val=&quot;007F1C9B&quot;/&gt;&lt;wsp:rsid wsp:val=&quot;007F27D4&quot;/&gt;&lt;wsp:rsid wsp:val=&quot;007F327C&quot;/&gt;&lt;wsp:rsid wsp:val=&quot;007F4CF1&quot;/&gt;&lt;wsp:rsid wsp:val=&quot;007F758D&quot;/&gt;&lt;wsp:rsid wsp:val=&quot;007F7D52&quot;/&gt;&lt;wsp:rsid wsp:val=&quot;00801B68&quot;/&gt;&lt;wsp:rsid wsp:val=&quot;0080654C&quot;/&gt;&lt;wsp:rsid wsp:val=&quot;008071C6&quot;/&gt;&lt;wsp:rsid wsp:val=&quot;00807827&quot;/&gt;&lt;wsp:rsid wsp:val=&quot;008113A6&quot;/&gt;&lt;wsp:rsid wsp:val=&quot;008119F4&quot;/&gt;&lt;wsp:rsid wsp:val=&quot;00815881&quot;/&gt;&lt;wsp:rsid wsp:val=&quot;00817A00&quot;/&gt;&lt;wsp:rsid wsp:val=&quot;00821283&quot;/&gt;&lt;wsp:rsid wsp:val=&quot;00824FCD&quot;/&gt;&lt;wsp:rsid wsp:val=&quot;00826055&quot;/&gt;&lt;wsp:rsid wsp:val=&quot;00835DB3&quot;/&gt;&lt;wsp:rsid wsp:val=&quot;0083617B&quot;/&gt;&lt;wsp:rsid wsp:val=&quot;008364DF&quot;/&gt;&lt;wsp:rsid wsp:val=&quot;008371BD&quot;/&gt;&lt;wsp:rsid wsp:val=&quot;00845DAA&quot;/&gt;&lt;wsp:rsid wsp:val=&quot;00846CFA&quot;/&gt;&lt;wsp:rsid wsp:val=&quot;00847268&quot;/&gt;&lt;wsp:rsid wsp:val=&quot;008504A8&quot;/&gt;&lt;wsp:rsid wsp:val=&quot;00850C85&quot;/&gt;&lt;wsp:rsid wsp:val=&quot;0085282E&quot;/&gt;&lt;wsp:rsid wsp:val=&quot;00852BE6&quot;/&gt;&lt;wsp:rsid wsp:val=&quot;00856DA9&quot;/&gt;&lt;wsp:rsid wsp:val=&quot;008573B6&quot;/&gt;&lt;wsp:rsid wsp:val=&quot;0086171A&quot;/&gt;&lt;wsp:rsid wsp:val=&quot;00861D83&quot;/&gt;&lt;wsp:rsid wsp:val=&quot;00863B77&quot;/&gt;&lt;wsp:rsid wsp:val=&quot;00864D75&quot;/&gt;&lt;wsp:rsid wsp:val=&quot;00867CA2&quot;/&gt;&lt;wsp:rsid wsp:val=&quot;0087198C&quot;/&gt;&lt;wsp:rsid wsp:val=&quot;00872C1F&quot;/&gt;&lt;wsp:rsid wsp:val=&quot;00873862&quot;/&gt;&lt;wsp:rsid wsp:val=&quot;0087391F&quot;/&gt;&lt;wsp:rsid wsp:val=&quot;00873B42&quot;/&gt;&lt;wsp:rsid wsp:val=&quot;008768BB&quot;/&gt;&lt;wsp:rsid wsp:val=&quot;00877E9A&quot;/&gt;&lt;wsp:rsid wsp:val=&quot;00880E26&quot;/&gt;&lt;wsp:rsid wsp:val=&quot;00884419&quot;/&gt;&lt;wsp:rsid wsp:val=&quot;008856D8&quot;/&gt;&lt;wsp:rsid wsp:val=&quot;0088596F&quot;/&gt;&lt;wsp:rsid wsp:val=&quot;00885981&quot;/&gt;&lt;wsp:rsid wsp:val=&quot;008905B6&quot;/&gt;&lt;wsp:rsid wsp:val=&quot;00892E82&quot;/&gt;&lt;wsp:rsid wsp:val=&quot;00892FB0&quot;/&gt;&lt;wsp:rsid wsp:val=&quot;008951C3&quot;/&gt;&lt;wsp:rsid wsp:val=&quot;008A2472&quot;/&gt;&lt;wsp:rsid wsp:val=&quot;008A448D&quot;/&gt;&lt;wsp:rsid wsp:val=&quot;008A4919&quot;/&gt;&lt;wsp:rsid wsp:val=&quot;008A7EF1&quot;/&gt;&lt;wsp:rsid wsp:val=&quot;008B02F6&quot;/&gt;&lt;wsp:rsid wsp:val=&quot;008B2C03&quot;/&gt;&lt;wsp:rsid wsp:val=&quot;008B594E&quot;/&gt;&lt;wsp:rsid wsp:val=&quot;008B7141&quot;/&gt;&lt;wsp:rsid wsp:val=&quot;008C079B&quot;/&gt;&lt;wsp:rsid wsp:val=&quot;008C0FA4&quot;/&gt;&lt;wsp:rsid wsp:val=&quot;008C1402&quot;/&gt;&lt;wsp:rsid wsp:val=&quot;008C1B58&quot;/&gt;&lt;wsp:rsid wsp:val=&quot;008C1E45&quot;/&gt;&lt;wsp:rsid wsp:val=&quot;008C2C60&quot;/&gt;&lt;wsp:rsid wsp:val=&quot;008C39AE&quot;/&gt;&lt;wsp:rsid wsp:val=&quot;008C5484&quot;/&gt;&lt;wsp:rsid wsp:val=&quot;008C590D&quot;/&gt;&lt;wsp:rsid wsp:val=&quot;008D4824&quot;/&gt;&lt;wsp:rsid wsp:val=&quot;008D5019&quot;/&gt;&lt;wsp:rsid wsp:val=&quot;008D6B40&quot;/&gt;&lt;wsp:rsid wsp:val=&quot;008E031B&quot;/&gt;&lt;wsp:rsid wsp:val=&quot;008E2914&quot;/&gt;&lt;wsp:rsid wsp:val=&quot;008E2C1E&quot;/&gt;&lt;wsp:rsid wsp:val=&quot;008E35BD&quot;/&gt;&lt;wsp:rsid wsp:val=&quot;008E7029&quot;/&gt;&lt;wsp:rsid wsp:val=&quot;008E7EF6&quot;/&gt;&lt;wsp:rsid wsp:val=&quot;008F1F98&quot;/&gt;&lt;wsp:rsid wsp:val=&quot;008F6758&quot;/&gt;&lt;wsp:rsid wsp:val=&quot;008F79DB&quot;/&gt;&lt;wsp:rsid wsp:val=&quot;008F7C37&quot;/&gt;&lt;wsp:rsid wsp:val=&quot;009040DD&quot;/&gt;&lt;wsp:rsid wsp:val=&quot;00905B47&quot;/&gt;&lt;wsp:rsid wsp:val=&quot;00907FE8&quot;/&gt;&lt;wsp:rsid wsp:val=&quot;00910D7D&quot;/&gt;&lt;wsp:rsid wsp:val=&quot;00912F39&quot;/&gt;&lt;wsp:rsid wsp:val=&quot;0091331C&quot;/&gt;&lt;wsp:rsid wsp:val=&quot;00923259&quot;/&gt;&lt;wsp:rsid wsp:val=&quot;00924502&quot;/&gt;&lt;wsp:rsid wsp:val=&quot;009279DE&quot;/&gt;&lt;wsp:rsid wsp:val=&quot;00927DDD&quot;/&gt;&lt;wsp:rsid wsp:val=&quot;00930116&quot;/&gt;&lt;wsp:rsid wsp:val=&quot;00930428&quot;/&gt;&lt;wsp:rsid wsp:val=&quot;00933E0B&quot;/&gt;&lt;wsp:rsid wsp:val=&quot;009379F2&quot;/&gt;&lt;wsp:rsid wsp:val=&quot;0094212C&quot;/&gt;&lt;wsp:rsid wsp:val=&quot;00942A70&quot;/&gt;&lt;wsp:rsid wsp:val=&quot;00944F44&quot;/&gt;&lt;wsp:rsid wsp:val=&quot;009453D5&quot;/&gt;&lt;wsp:rsid wsp:val=&quot;0094699D&quot;/&gt;&lt;wsp:rsid wsp:val=&quot;009478F9&quot;/&gt;&lt;wsp:rsid wsp:val=&quot;00950B4E&quot;/&gt;&lt;wsp:rsid wsp:val=&quot;009545D7&quot;/&gt;&lt;wsp:rsid wsp:val=&quot;00954689&quot;/&gt;&lt;wsp:rsid wsp:val=&quot;0096011E&quot;/&gt;&lt;wsp:rsid wsp:val=&quot;009615CD&quot;/&gt;&lt;wsp:rsid wsp:val=&quot;009617C9&quot;/&gt;&lt;wsp:rsid wsp:val=&quot;00961C93&quot;/&gt;&lt;wsp:rsid wsp:val=&quot;009632EB&quot;/&gt;&lt;wsp:rsid wsp:val=&quot;00965324&quot;/&gt;&lt;wsp:rsid wsp:val=&quot;00966FF2&quot;/&gt;&lt;wsp:rsid wsp:val=&quot;00970351&quot;/&gt;&lt;wsp:rsid wsp:val=&quot;009707C0&quot;/&gt;&lt;wsp:rsid wsp:val=&quot;0097091E&quot;/&gt;&lt;wsp:rsid wsp:val=&quot;00973556&quot;/&gt;&lt;wsp:rsid wsp:val=&quot;00974040&quot;/&gt;&lt;wsp:rsid wsp:val=&quot;00975392&quot;/&gt;&lt;wsp:rsid wsp:val=&quot;009760D3&quot;/&gt;&lt;wsp:rsid wsp:val=&quot;00977132&quot;/&gt;&lt;wsp:rsid wsp:val=&quot;00981A4B&quot;/&gt;&lt;wsp:rsid wsp:val=&quot;0098237F&quot;/&gt;&lt;wsp:rsid wsp:val=&quot;00982501&quot;/&gt;&lt;wsp:rsid wsp:val=&quot;00983759&quot;/&gt;&lt;wsp:rsid wsp:val=&quot;00986414&quot;/&gt;&lt;wsp:rsid wsp:val=&quot;00986AAB&quot;/&gt;&lt;wsp:rsid wsp:val=&quot;009877D3&quot;/&gt;&lt;wsp:rsid wsp:val=&quot;00990B9B&quot;/&gt;&lt;wsp:rsid wsp:val=&quot;009915AF&quot;/&gt;&lt;wsp:rsid wsp:val=&quot;00993899&quot;/&gt;&lt;wsp:rsid wsp:val=&quot;00994E8F&quot;/&gt;&lt;wsp:rsid wsp:val=&quot;009951DC&quot;/&gt;&lt;wsp:rsid wsp:val=&quot;009959BB&quot;/&gt;&lt;wsp:rsid wsp:val=&quot;009966A4&quot;/&gt;&lt;wsp:rsid wsp:val=&quot;00997158&quot;/&gt;&lt;wsp:rsid wsp:val=&quot;009A3A7C&quot;/&gt;&lt;wsp:rsid wsp:val=&quot;009A6389&quot;/&gt;&lt;wsp:rsid wsp:val=&quot;009A711B&quot;/&gt;&lt;wsp:rsid wsp:val=&quot;009A761E&quot;/&gt;&lt;wsp:rsid wsp:val=&quot;009B12DE&quot;/&gt;&lt;wsp:rsid wsp:val=&quot;009B2ADB&quot;/&gt;&lt;wsp:rsid wsp:val=&quot;009B3725&quot;/&gt;&lt;wsp:rsid wsp:val=&quot;009B603A&quot;/&gt;&lt;wsp:rsid wsp:val=&quot;009B6EA7&quot;/&gt;&lt;wsp:rsid wsp:val=&quot;009C2436&quot;/&gt;&lt;wsp:rsid wsp:val=&quot;009C2A87&quot;/&gt;&lt;wsp:rsid wsp:val=&quot;009C2D0E&quot;/&gt;&lt;wsp:rsid wsp:val=&quot;009C2DE0&quot;/&gt;&lt;wsp:rsid wsp:val=&quot;009C2E42&quot;/&gt;&lt;wsp:rsid wsp:val=&quot;009C3DAC&quot;/&gt;&lt;wsp:rsid wsp:val=&quot;009C42E0&quot;/&gt;&lt;wsp:rsid wsp:val=&quot;009C78FD&quot;/&gt;&lt;wsp:rsid wsp:val=&quot;009D2E8C&quot;/&gt;&lt;wsp:rsid wsp:val=&quot;009D31D1&quot;/&gt;&lt;wsp:rsid wsp:val=&quot;009D5362&quot;/&gt;&lt;wsp:rsid wsp:val=&quot;009E1415&quot;/&gt;&lt;wsp:rsid wsp:val=&quot;009E4E25&quot;/&gt;&lt;wsp:rsid wsp:val=&quot;009E6116&quot;/&gt;&lt;wsp:rsid wsp:val=&quot;009F7AE2&quot;/&gt;&lt;wsp:rsid wsp:val=&quot;00A006D0&quot;/&gt;&lt;wsp:rsid wsp:val=&quot;00A02E43&quot;/&gt;&lt;wsp:rsid wsp:val=&quot;00A065F9&quot;/&gt;&lt;wsp:rsid wsp:val=&quot;00A06A20&quot;/&gt;&lt;wsp:rsid wsp:val=&quot;00A07F34&quot;/&gt;&lt;wsp:rsid wsp:val=&quot;00A10FB7&quot;/&gt;&lt;wsp:rsid wsp:val=&quot;00A22154&quot;/&gt;&lt;wsp:rsid wsp:val=&quot;00A247DF&quot;/&gt;&lt;wsp:rsid wsp:val=&quot;00A25C38&quot;/&gt;&lt;wsp:rsid wsp:val=&quot;00A2606A&quot;/&gt;&lt;wsp:rsid wsp:val=&quot;00A27D7E&quot;/&gt;&lt;wsp:rsid wsp:val=&quot;00A33511&quot;/&gt;&lt;wsp:rsid wsp:val=&quot;00A337AE&quot;/&gt;&lt;wsp:rsid wsp:val=&quot;00A36BBE&quot;/&gt;&lt;wsp:rsid wsp:val=&quot;00A4026C&quot;/&gt;&lt;wsp:rsid wsp:val=&quot;00A4190B&quot;/&gt;&lt;wsp:rsid wsp:val=&quot;00A4307A&quot;/&gt;&lt;wsp:rsid wsp:val=&quot;00A469E3&quot;/&gt;&lt;wsp:rsid wsp:val=&quot;00A47EBB&quot;/&gt;&lt;wsp:rsid wsp:val=&quot;00A51CDD&quot;/&gt;&lt;wsp:rsid wsp:val=&quot;00A566C9&quot;/&gt;&lt;wsp:rsid wsp:val=&quot;00A624CC&quot;/&gt;&lt;wsp:rsid wsp:val=&quot;00A62941&quot;/&gt;&lt;wsp:rsid wsp:val=&quot;00A631D7&quot;/&gt;&lt;wsp:rsid wsp:val=&quot;00A6444F&quot;/&gt;&lt;wsp:rsid wsp:val=&quot;00A66039&quot;/&gt;&lt;wsp:rsid wsp:val=&quot;00A6730D&quot;/&gt;&lt;wsp:rsid wsp:val=&quot;00A7044F&quot;/&gt;&lt;wsp:rsid wsp:val=&quot;00A71625&quot;/&gt;&lt;wsp:rsid wsp:val=&quot;00A71B9B&quot;/&gt;&lt;wsp:rsid wsp:val=&quot;00A7201B&quot;/&gt;&lt;wsp:rsid wsp:val=&quot;00A751C7&quot;/&gt;&lt;wsp:rsid wsp:val=&quot;00A758C4&quot;/&gt;&lt;wsp:rsid wsp:val=&quot;00A80CEE&quot;/&gt;&lt;wsp:rsid wsp:val=&quot;00A826F1&quot;/&gt;&lt;wsp:rsid wsp:val=&quot;00A83F2B&quot;/&gt;&lt;wsp:rsid wsp:val=&quot;00A84045&quot;/&gt;&lt;wsp:rsid wsp:val=&quot;00A87844&quot;/&gt;&lt;wsp:rsid wsp:val=&quot;00A90F31&quot;/&gt;&lt;wsp:rsid wsp:val=&quot;00A9138B&quot;/&gt;&lt;wsp:rsid wsp:val=&quot;00A919A9&quot;/&gt;&lt;wsp:rsid wsp:val=&quot;00A92786&quot;/&gt;&lt;wsp:rsid wsp:val=&quot;00A95518&quot;/&gt;&lt;wsp:rsid wsp:val=&quot;00A96AB7&quot;/&gt;&lt;wsp:rsid wsp:val=&quot;00AA0377&quot;/&gt;&lt;wsp:rsid wsp:val=&quot;00AA038C&quot;/&gt;&lt;wsp:rsid wsp:val=&quot;00AA1DA9&quot;/&gt;&lt;wsp:rsid wsp:val=&quot;00AA2A13&quot;/&gt;&lt;wsp:rsid wsp:val=&quot;00AA3660&quot;/&gt;&lt;wsp:rsid wsp:val=&quot;00AA39D5&quot;/&gt;&lt;wsp:rsid wsp:val=&quot;00AA5841&quot;/&gt;&lt;wsp:rsid wsp:val=&quot;00AA5A04&quot;/&gt;&lt;wsp:rsid wsp:val=&quot;00AA5BDE&quot;/&gt;&lt;wsp:rsid wsp:val=&quot;00AA6940&quot;/&gt;&lt;wsp:rsid wsp:val=&quot;00AA6DEF&quot;/&gt;&lt;wsp:rsid wsp:val=&quot;00AA7A09&quot;/&gt;&lt;wsp:rsid wsp:val=&quot;00AB08B4&quot;/&gt;&lt;wsp:rsid wsp:val=&quot;00AB237E&quot;/&gt;&lt;wsp:rsid wsp:val=&quot;00AB31E4&quot;/&gt;&lt;wsp:rsid wsp:val=&quot;00AB3B50&quot;/&gt;&lt;wsp:rsid wsp:val=&quot;00AB433F&quot;/&gt;&lt;wsp:rsid wsp:val=&quot;00AB4846&quot;/&gt;&lt;wsp:rsid wsp:val=&quot;00AC05B1&quot;/&gt;&lt;wsp:rsid wsp:val=&quot;00AC3E28&quot;/&gt;&lt;wsp:rsid wsp:val=&quot;00AC50CB&quot;/&gt;&lt;wsp:rsid wsp:val=&quot;00AD1B7F&quot;/&gt;&lt;wsp:rsid wsp:val=&quot;00AD2A6B&quot;/&gt;&lt;wsp:rsid wsp:val=&quot;00AD34A5&quot;/&gt;&lt;wsp:rsid wsp:val=&quot;00AD356C&quot;/&gt;&lt;wsp:rsid wsp:val=&quot;00AD3D56&quot;/&gt;&lt;wsp:rsid wsp:val=&quot;00AD6D44&quot;/&gt;&lt;wsp:rsid wsp:val=&quot;00AD7158&quot;/&gt;&lt;wsp:rsid wsp:val=&quot;00AE0ECA&quot;/&gt;&lt;wsp:rsid wsp:val=&quot;00AE1366&quot;/&gt;&lt;wsp:rsid wsp:val=&quot;00AE2914&quot;/&gt;&lt;wsp:rsid wsp:val=&quot;00AE4EF0&quot;/&gt;&lt;wsp:rsid wsp:val=&quot;00AE5666&quot;/&gt;&lt;wsp:rsid wsp:val=&quot;00AE6D15&quot;/&gt;&lt;wsp:rsid wsp:val=&quot;00AE72BB&quot;/&gt;&lt;wsp:rsid wsp:val=&quot;00AE7516&quot;/&gt;&lt;wsp:rsid wsp:val=&quot;00AE7B58&quot;/&gt;&lt;wsp:rsid wsp:val=&quot;00AF2A9F&quot;/&gt;&lt;wsp:rsid wsp:val=&quot;00AF5DF4&quot;/&gt;&lt;wsp:rsid wsp:val=&quot;00B0227A&quot;/&gt;&lt;wsp:rsid wsp:val=&quot;00B022E9&quot;/&gt;&lt;wsp:rsid wsp:val=&quot;00B04182&quot;/&gt;&lt;wsp:rsid wsp:val=&quot;00B051CA&quot;/&gt;&lt;wsp:rsid wsp:val=&quot;00B07AE3&quot;/&gt;&lt;wsp:rsid wsp:val=&quot;00B11430&quot;/&gt;&lt;wsp:rsid wsp:val=&quot;00B14A78&quot;/&gt;&lt;wsp:rsid wsp:val=&quot;00B14F54&quot;/&gt;&lt;wsp:rsid wsp:val=&quot;00B155EA&quot;/&gt;&lt;wsp:rsid wsp:val=&quot;00B24D7F&quot;/&gt;&lt;wsp:rsid wsp:val=&quot;00B26419&quot;/&gt;&lt;wsp:rsid wsp:val=&quot;00B34EE2&quot;/&gt;&lt;wsp:rsid wsp:val=&quot;00B353EB&quot;/&gt;&lt;wsp:rsid wsp:val=&quot;00B35783&quot;/&gt;&lt;wsp:rsid wsp:val=&quot;00B3646F&quot;/&gt;&lt;wsp:rsid wsp:val=&quot;00B439C4&quot;/&gt;&lt;wsp:rsid wsp:val=&quot;00B44297&quot;/&gt;&lt;wsp:rsid wsp:val=&quot;00B4535E&quot;/&gt;&lt;wsp:rsid wsp:val=&quot;00B45D1E&quot;/&gt;&lt;wsp:rsid wsp:val=&quot;00B47D1C&quot;/&gt;&lt;wsp:rsid wsp:val=&quot;00B52A77&quot;/&gt;&lt;wsp:rsid wsp:val=&quot;00B52A8C&quot;/&gt;&lt;wsp:rsid wsp:val=&quot;00B56762&quot;/&gt;&lt;wsp:rsid wsp:val=&quot;00B622A5&quot;/&gt;&lt;wsp:rsid wsp:val=&quot;00B636A8&quot;/&gt;&lt;wsp:rsid wsp:val=&quot;00B63E90&quot;/&gt;&lt;wsp:rsid wsp:val=&quot;00B6609A&quot;/&gt;&lt;wsp:rsid wsp:val=&quot;00B665C6&quot;/&gt;&lt;wsp:rsid wsp:val=&quot;00B67421&quot;/&gt;&lt;wsp:rsid wsp:val=&quot;00B700E0&quot;/&gt;&lt;wsp:rsid wsp:val=&quot;00B72738&quot;/&gt;&lt;wsp:rsid wsp:val=&quot;00B74435&quot;/&gt;&lt;wsp:rsid wsp:val=&quot;00B805AF&quot;/&gt;&lt;wsp:rsid wsp:val=&quot;00B822FE&quot;/&gt;&lt;wsp:rsid wsp:val=&quot;00B829F0&quot;/&gt;&lt;wsp:rsid wsp:val=&quot;00B82DD0&quot;/&gt;&lt;wsp:rsid wsp:val=&quot;00B869EC&quot;/&gt;&lt;wsp:rsid wsp:val=&quot;00B926C7&quot;/&gt;&lt;wsp:rsid wsp:val=&quot;00B9397A&quot;/&gt;&lt;wsp:rsid wsp:val=&quot;00B944D8&quot;/&gt;&lt;wsp:rsid wsp:val=&quot;00B951DD&quot;/&gt;&lt;wsp:rsid wsp:val=&quot;00B9633D&quot;/&gt;&lt;wsp:rsid wsp:val=&quot;00BA2EBE&quot;/&gt;&lt;wsp:rsid wsp:val=&quot;00BA388F&quot;/&gt;&lt;wsp:rsid wsp:val=&quot;00BA64F3&quot;/&gt;&lt;wsp:rsid wsp:val=&quot;00BA6AFD&quot;/&gt;&lt;wsp:rsid wsp:val=&quot;00BB0F28&quot;/&gt;&lt;wsp:rsid wsp:val=&quot;00BB10CA&quot;/&gt;&lt;wsp:rsid wsp:val=&quot;00BB201B&quot;/&gt;&lt;wsp:rsid wsp:val=&quot;00BB458A&quot;/&gt;&lt;wsp:rsid wsp:val=&quot;00BB5798&quot;/&gt;&lt;wsp:rsid wsp:val=&quot;00BB5A85&quot;/&gt;&lt;wsp:rsid wsp:val=&quot;00BB6768&quot;/&gt;&lt;wsp:rsid wsp:val=&quot;00BB6876&quot;/&gt;&lt;wsp:rsid wsp:val=&quot;00BC0C2D&quot;/&gt;&lt;wsp:rsid wsp:val=&quot;00BD00D3&quot;/&gt;&lt;wsp:rsid wsp:val=&quot;00BD1659&quot;/&gt;&lt;wsp:rsid wsp:val=&quot;00BD1858&quot;/&gt;&lt;wsp:rsid wsp:val=&quot;00BD1A55&quot;/&gt;&lt;wsp:rsid wsp:val=&quot;00BD3AA9&quot;/&gt;&lt;wsp:rsid wsp:val=&quot;00BD4A18&quot;/&gt;&lt;wsp:rsid wsp:val=&quot;00BD61AF&quot;/&gt;&lt;wsp:rsid wsp:val=&quot;00BD6DB2&quot;/&gt;&lt;wsp:rsid wsp:val=&quot;00BD7B64&quot;/&gt;&lt;wsp:rsid wsp:val=&quot;00BE0746&quot;/&gt;&lt;wsp:rsid wsp:val=&quot;00BE11CF&quot;/&gt;&lt;wsp:rsid wsp:val=&quot;00BE21AB&quot;/&gt;&lt;wsp:rsid wsp:val=&quot;00BE55CB&quot;/&gt;&lt;wsp:rsid wsp:val=&quot;00BE68BD&quot;/&gt;&lt;wsp:rsid wsp:val=&quot;00BE6B50&quot;/&gt;&lt;wsp:rsid wsp:val=&quot;00BF35C8&quot;/&gt;&lt;wsp:rsid wsp:val=&quot;00BF4C6B&quot;/&gt;&lt;wsp:rsid wsp:val=&quot;00BF617A&quot;/&gt;&lt;wsp:rsid wsp:val=&quot;00BF6678&quot;/&gt;&lt;wsp:rsid wsp:val=&quot;00C00C31&quot;/&gt;&lt;wsp:rsid wsp:val=&quot;00C03057&quot;/&gt;&lt;wsp:rsid wsp:val=&quot;00C0379D&quot;/&gt;&lt;wsp:rsid wsp:val=&quot;00C03931&quot;/&gt;&lt;wsp:rsid wsp:val=&quot;00C05FE3&quot;/&gt;&lt;wsp:rsid wsp:val=&quot;00C12E13&quot;/&gt;&lt;wsp:rsid wsp:val=&quot;00C206E6&quot;/&gt;&lt;wsp:rsid wsp:val=&quot;00C2136D&quot;/&gt;&lt;wsp:rsid wsp:val=&quot;00C214EE&quot;/&gt;&lt;wsp:rsid wsp:val=&quot;00C22F68&quot;/&gt;&lt;wsp:rsid wsp:val=&quot;00C2314B&quot;/&gt;&lt;wsp:rsid wsp:val=&quot;00C23497&quot;/&gt;&lt;wsp:rsid wsp:val=&quot;00C247DE&quot;/&gt;&lt;wsp:rsid wsp:val=&quot;00C24971&quot;/&gt;&lt;wsp:rsid wsp:val=&quot;00C25504&quot;/&gt;&lt;wsp:rsid wsp:val=&quot;00C26BE5&quot;/&gt;&lt;wsp:rsid wsp:val=&quot;00C26E4D&quot;/&gt;&lt;wsp:rsid wsp:val=&quot;00C27909&quot;/&gt;&lt;wsp:rsid wsp:val=&quot;00C27B03&quot;/&gt;&lt;wsp:rsid wsp:val=&quot;00C314E1&quot;/&gt;&lt;wsp:rsid wsp:val=&quot;00C34397&quot;/&gt;&lt;wsp:rsid wsp:val=&quot;00C34C1E&quot;/&gt;&lt;wsp:rsid wsp:val=&quot;00C37B29&quot;/&gt;&lt;wsp:rsid wsp:val=&quot;00C4095D&quot;/&gt;&lt;wsp:rsid wsp:val=&quot;00C4346A&quot;/&gt;&lt;wsp:rsid wsp:val=&quot;00C5071F&quot;/&gt;&lt;wsp:rsid wsp:val=&quot;00C50E97&quot;/&gt;&lt;wsp:rsid wsp:val=&quot;00C52097&quot;/&gt;&lt;wsp:rsid wsp:val=&quot;00C5209A&quot;/&gt;&lt;wsp:rsid wsp:val=&quot;00C56732&quot;/&gt;&lt;wsp:rsid wsp:val=&quot;00C572A5&quot;/&gt;&lt;wsp:rsid wsp:val=&quot;00C601D2&quot;/&gt;&lt;wsp:rsid wsp:val=&quot;00C60EF2&quot;/&gt;&lt;wsp:rsid wsp:val=&quot;00C6325B&quot;/&gt;&lt;wsp:rsid wsp:val=&quot;00C65BCC&quot;/&gt;&lt;wsp:rsid wsp:val=&quot;00C6632A&quot;/&gt;&lt;wsp:rsid wsp:val=&quot;00C66970&quot;/&gt;&lt;wsp:rsid wsp:val=&quot;00C708A7&quot;/&gt;&lt;wsp:rsid wsp:val=&quot;00C70D85&quot;/&gt;&lt;wsp:rsid wsp:val=&quot;00C7297C&quot;/&gt;&lt;wsp:rsid wsp:val=&quot;00C76145&quot;/&gt;&lt;wsp:rsid wsp:val=&quot;00C801B5&quot;/&gt;&lt;wsp:rsid wsp:val=&quot;00C8691C&quot;/&gt;&lt;wsp:rsid wsp:val=&quot;00C87669&quot;/&gt;&lt;wsp:rsid wsp:val=&quot;00C87D42&quot;/&gt;&lt;wsp:rsid wsp:val=&quot;00C91E79&quot;/&gt;&lt;wsp:rsid wsp:val=&quot;00C976E4&quot;/&gt;&lt;wsp:rsid wsp:val=&quot;00CA168A&quot;/&gt;&lt;wsp:rsid wsp:val=&quot;00CA34E2&quot;/&gt;&lt;wsp:rsid wsp:val=&quot;00CA357E&quot;/&gt;&lt;wsp:rsid wsp:val=&quot;00CA44F9&quot;/&gt;&lt;wsp:rsid wsp:val=&quot;00CA4A69&quot;/&gt;&lt;wsp:rsid wsp:val=&quot;00CA67CC&quot;/&gt;&lt;wsp:rsid wsp:val=&quot;00CB5742&quot;/&gt;&lt;wsp:rsid wsp:val=&quot;00CC07F1&quot;/&gt;&lt;wsp:rsid wsp:val=&quot;00CC2665&quot;/&gt;&lt;wsp:rsid wsp:val=&quot;00CC3E0C&quot;/&gt;&lt;wsp:rsid wsp:val=&quot;00CC58D3&quot;/&gt;&lt;wsp:rsid wsp:val=&quot;00CC5E7C&quot;/&gt;&lt;wsp:rsid wsp:val=&quot;00CC5FDE&quot;/&gt;&lt;wsp:rsid wsp:val=&quot;00CC784D&quot;/&gt;&lt;wsp:rsid wsp:val=&quot;00CC7931&quot;/&gt;&lt;wsp:rsid wsp:val=&quot;00CE035D&quot;/&gt;&lt;wsp:rsid wsp:val=&quot;00CE1342&quot;/&gt;&lt;wsp:rsid wsp:val=&quot;00CE1F44&quot;/&gt;&lt;wsp:rsid wsp:val=&quot;00CE3B7E&quot;/&gt;&lt;wsp:rsid wsp:val=&quot;00CE53F3&quot;/&gt;&lt;wsp:rsid wsp:val=&quot;00CE5DFD&quot;/&gt;&lt;wsp:rsid wsp:val=&quot;00CE6E0E&quot;/&gt;&lt;wsp:rsid wsp:val=&quot;00CF04FB&quot;/&gt;&lt;wsp:rsid wsp:val=&quot;00CF096C&quot;/&gt;&lt;wsp:rsid wsp:val=&quot;00CF2395&quot;/&gt;&lt;wsp:rsid wsp:val=&quot;00CF29E7&quot;/&gt;&lt;wsp:rsid wsp:val=&quot;00CF321A&quot;/&gt;&lt;wsp:rsid wsp:val=&quot;00CF52FF&quot;/&gt;&lt;wsp:rsid wsp:val=&quot;00D0076D&quot;/&gt;&lt;wsp:rsid wsp:val=&quot;00D01BE0&quot;/&gt;&lt;wsp:rsid wsp:val=&quot;00D02474&quot;/&gt;&lt;wsp:rsid wsp:val=&quot;00D0337B&quot;/&gt;&lt;wsp:rsid wsp:val=&quot;00D03682&quot;/&gt;&lt;wsp:rsid wsp:val=&quot;00D053FD&quot;/&gt;&lt;wsp:rsid wsp:val=&quot;00D079B2&quot;/&gt;&lt;wsp:rsid wsp:val=&quot;00D10B21&quot;/&gt;&lt;wsp:rsid wsp:val=&quot;00D114E9&quot;/&gt;&lt;wsp:rsid wsp:val=&quot;00D1325B&quot;/&gt;&lt;wsp:rsid wsp:val=&quot;00D160FA&quot;/&gt;&lt;wsp:rsid wsp:val=&quot;00D16264&quot;/&gt;&lt;wsp:rsid wsp:val=&quot;00D16EBF&quot;/&gt;&lt;wsp:rsid wsp:val=&quot;00D221EF&quot;/&gt;&lt;wsp:rsid wsp:val=&quot;00D2515D&quot;/&gt;&lt;wsp:rsid wsp:val=&quot;00D33F17&quot;/&gt;&lt;wsp:rsid wsp:val=&quot;00D429C6&quot;/&gt;&lt;wsp:rsid wsp:val=&quot;00D443C8&quot;/&gt;&lt;wsp:rsid wsp:val=&quot;00D45DDD&quot;/&gt;&lt;wsp:rsid wsp:val=&quot;00D47748&quot;/&gt;&lt;wsp:rsid wsp:val=&quot;00D508B6&quot;/&gt;&lt;wsp:rsid wsp:val=&quot;00D53821&quot;/&gt;&lt;wsp:rsid wsp:val=&quot;00D54CC3&quot;/&gt;&lt;wsp:rsid wsp:val=&quot;00D55344&quot;/&gt;&lt;wsp:rsid wsp:val=&quot;00D6041A&quot;/&gt;&lt;wsp:rsid wsp:val=&quot;00D60A3A&quot;/&gt;&lt;wsp:rsid wsp:val=&quot;00D613B3&quot;/&gt;&lt;wsp:rsid wsp:val=&quot;00D6338D&quot;/&gt;&lt;wsp:rsid wsp:val=&quot;00D633EB&quot;/&gt;&lt;wsp:rsid wsp:val=&quot;00D634FA&quot;/&gt;&lt;wsp:rsid wsp:val=&quot;00D6629C&quot;/&gt;&lt;wsp:rsid wsp:val=&quot;00D6799A&quot;/&gt;&lt;wsp:rsid wsp:val=&quot;00D71365&quot;/&gt;&lt;wsp:rsid wsp:val=&quot;00D71C3F&quot;/&gt;&lt;wsp:rsid wsp:val=&quot;00D74528&quot;/&gt;&lt;wsp:rsid wsp:val=&quot;00D74830&quot;/&gt;&lt;wsp:rsid wsp:val=&quot;00D82FF7&quot;/&gt;&lt;wsp:rsid wsp:val=&quot;00D84011&quot;/&gt;&lt;wsp:rsid wsp:val=&quot;00D847FE&quot;/&gt;&lt;wsp:rsid wsp:val=&quot;00D909F2&quot;/&gt;&lt;wsp:rsid wsp:val=&quot;00D910A5&quot;/&gt;&lt;wsp:rsid wsp:val=&quot;00D93D9A&quot;/&gt;&lt;wsp:rsid wsp:val=&quot;00D95E22&quot;/&gt;&lt;wsp:rsid wsp:val=&quot;00D964EA&quot;/&gt;&lt;wsp:rsid wsp:val=&quot;00D966D0&quot;/&gt;&lt;wsp:rsid wsp:val=&quot;00D979ED&quot;/&gt;&lt;wsp:rsid wsp:val=&quot;00DA0C59&quot;/&gt;&lt;wsp:rsid wsp:val=&quot;00DA3766&quot;/&gt;&lt;wsp:rsid wsp:val=&quot;00DA3991&quot;/&gt;&lt;wsp:rsid wsp:val=&quot;00DA78C4&quot;/&gt;&lt;wsp:rsid wsp:val=&quot;00DB29D3&quot;/&gt;&lt;wsp:rsid wsp:val=&quot;00DB4A2A&quot;/&gt;&lt;wsp:rsid wsp:val=&quot;00DB7E6C&quot;/&gt;&lt;wsp:rsid wsp:val=&quot;00DB7E9F&quot;/&gt;&lt;wsp:rsid wsp:val=&quot;00DC31E0&quot;/&gt;&lt;wsp:rsid wsp:val=&quot;00DD5A29&quot;/&gt;&lt;wsp:rsid wsp:val=&quot;00DD5D9D&quot;/&gt;&lt;wsp:rsid wsp:val=&quot;00DE002F&quot;/&gt;&lt;wsp:rsid wsp:val=&quot;00DE35CB&quot;/&gt;&lt;wsp:rsid wsp:val=&quot;00DE40FB&quot;/&gt;&lt;wsp:rsid wsp:val=&quot;00DF21E9&quot;/&gt;&lt;wsp:rsid wsp:val=&quot;00DF3188&quot;/&gt;&lt;wsp:rsid wsp:val=&quot;00DF346E&quot;/&gt;&lt;wsp:rsid wsp:val=&quot;00E00F14&quot;/&gt;&lt;wsp:rsid wsp:val=&quot;00E027CB&quot;/&gt;&lt;wsp:rsid wsp:val=&quot;00E04228&quot;/&gt;&lt;wsp:rsid wsp:val=&quot;00E06386&quot;/&gt;&lt;wsp:rsid wsp:val=&quot;00E067CE&quot;/&gt;&lt;wsp:rsid wsp:val=&quot;00E10522&quot;/&gt;&lt;wsp:rsid wsp:val=&quot;00E170C9&quot;/&gt;&lt;wsp:rsid wsp:val=&quot;00E22CBA&quot;/&gt;&lt;wsp:rsid wsp:val=&quot;00E23520&quot;/&gt;&lt;wsp:rsid wsp:val=&quot;00E23C04&quot;/&gt;&lt;wsp:rsid wsp:val=&quot;00E24438&quot;/&gt;&lt;wsp:rsid wsp:val=&quot;00E24EB4&quot;/&gt;&lt;wsp:rsid wsp:val=&quot;00E25605&quot;/&gt;&lt;wsp:rsid wsp:val=&quot;00E320ED&quot;/&gt;&lt;wsp:rsid wsp:val=&quot;00E33AFB&quot;/&gt;&lt;wsp:rsid wsp:val=&quot;00E34218&quot;/&gt;&lt;wsp:rsid wsp:val=&quot;00E365D7&quot;/&gt;&lt;wsp:rsid wsp:val=&quot;00E37AEC&quot;/&gt;&lt;wsp:rsid wsp:val=&quot;00E44669&quot;/&gt;&lt;wsp:rsid wsp:val=&quot;00E46282&quot;/&gt;&lt;wsp:rsid wsp:val=&quot;00E511D3&quot;/&gt;&lt;wsp:rsid wsp:val=&quot;00E513D9&quot;/&gt;&lt;wsp:rsid wsp:val=&quot;00E5216E&quot;/&gt;&lt;wsp:rsid wsp:val=&quot;00E62C06&quot;/&gt;&lt;wsp:rsid wsp:val=&quot;00E64162&quot;/&gt;&lt;wsp:rsid wsp:val=&quot;00E67676&quot;/&gt;&lt;wsp:rsid wsp:val=&quot;00E679FF&quot;/&gt;&lt;wsp:rsid wsp:val=&quot;00E740F5&quot;/&gt;&lt;wsp:rsid wsp:val=&quot;00E82129&quot;/&gt;&lt;wsp:rsid wsp:val=&quot;00E821F7&quot;/&gt;&lt;wsp:rsid wsp:val=&quot;00E82344&quot;/&gt;&lt;wsp:rsid wsp:val=&quot;00E84C82&quot;/&gt;&lt;wsp:rsid wsp:val=&quot;00E84D64&quot;/&gt;&lt;wsp:rsid wsp:val=&quot;00E85C78&quot;/&gt;&lt;wsp:rsid wsp:val=&quot;00E87408&quot;/&gt;&lt;wsp:rsid wsp:val=&quot;00E9084B&quot;/&gt;&lt;wsp:rsid wsp:val=&quot;00E90DDE&quot;/&gt;&lt;wsp:rsid wsp:val=&quot;00E91381&quot;/&gt;&lt;wsp:rsid wsp:val=&quot;00E914C4&quot;/&gt;&lt;wsp:rsid wsp:val=&quot;00E92348&quot;/&gt;&lt;wsp:rsid wsp:val=&quot;00E934F5&quot;/&gt;&lt;wsp:rsid wsp:val=&quot;00E94A94&quot;/&gt;&lt;wsp:rsid wsp:val=&quot;00E96961&quot;/&gt;&lt;wsp:rsid wsp:val=&quot;00E97C5A&quot;/&gt;&lt;wsp:rsid wsp:val=&quot;00EA425A&quot;/&gt;&lt;wsp:rsid wsp:val=&quot;00EA4852&quot;/&gt;&lt;wsp:rsid wsp:val=&quot;00EA6EBB&quot;/&gt;&lt;wsp:rsid wsp:val=&quot;00EA72EC&quot;/&gt;&lt;wsp:rsid wsp:val=&quot;00EA7E15&quot;/&gt;&lt;wsp:rsid wsp:val=&quot;00EB10C6&quot;/&gt;&lt;wsp:rsid wsp:val=&quot;00EB11CB&quot;/&gt;&lt;wsp:rsid wsp:val=&quot;00EB275A&quot;/&gt;&lt;wsp:rsid wsp:val=&quot;00EB65C3&quot;/&gt;&lt;wsp:rsid wsp:val=&quot;00EB6B3E&quot;/&gt;&lt;wsp:rsid wsp:val=&quot;00EB71C2&quot;/&gt;&lt;wsp:rsid wsp:val=&quot;00EB786A&quot;/&gt;&lt;wsp:rsid wsp:val=&quot;00EC10B4&quot;/&gt;&lt;wsp:rsid wsp:val=&quot;00EC1578&quot;/&gt;&lt;wsp:rsid wsp:val=&quot;00EC1C72&quot;/&gt;&lt;wsp:rsid wsp:val=&quot;00EC21EB&quot;/&gt;&lt;wsp:rsid wsp:val=&quot;00EC3CC9&quot;/&gt;&lt;wsp:rsid wsp:val=&quot;00EC680A&quot;/&gt;&lt;wsp:rsid wsp:val=&quot;00EC7B09&quot;/&gt;&lt;wsp:rsid wsp:val=&quot;00ED7272&quot;/&gt;&lt;wsp:rsid wsp:val=&quot;00EE1E4B&quot;/&gt;&lt;wsp:rsid wsp:val=&quot;00EE2772&quot;/&gt;&lt;wsp:rsid wsp:val=&quot;00EE2B26&quot;/&gt;&lt;wsp:rsid wsp:val=&quot;00EE2BED&quot;/&gt;&lt;wsp:rsid wsp:val=&quot;00EE2C70&quot;/&gt;&lt;wsp:rsid wsp:val=&quot;00EE310E&quot;/&gt;&lt;wsp:rsid wsp:val=&quot;00EE374B&quot;/&gt;&lt;wsp:rsid wsp:val=&quot;00EE38D0&quot;/&gt;&lt;wsp:rsid wsp:val=&quot;00EE5000&quot;/&gt;&lt;wsp:rsid wsp:val=&quot;00EF2A1A&quot;/&gt;&lt;wsp:rsid wsp:val=&quot;00EF3859&quot;/&gt;&lt;wsp:rsid wsp:val=&quot;00F0142B&quot;/&gt;&lt;wsp:rsid wsp:val=&quot;00F10044&quot;/&gt;&lt;wsp:rsid wsp:val=&quot;00F11BB5&quot;/&gt;&lt;wsp:rsid wsp:val=&quot;00F11F6E&quot;/&gt;&lt;wsp:rsid wsp:val=&quot;00F135D3&quot;/&gt;&lt;wsp:rsid wsp:val=&quot;00F1417B&quot;/&gt;&lt;wsp:rsid wsp:val=&quot;00F14F91&quot;/&gt;&lt;wsp:rsid wsp:val=&quot;00F16CA4&quot;/&gt;&lt;wsp:rsid wsp:val=&quot;00F2148B&quot;/&gt;&lt;wsp:rsid wsp:val=&quot;00F21C6F&quot;/&gt;&lt;wsp:rsid wsp:val=&quot;00F235EE&quot;/&gt;&lt;wsp:rsid wsp:val=&quot;00F23FBB&quot;/&gt;&lt;wsp:rsid wsp:val=&quot;00F347FF&quot;/&gt;&lt;wsp:rsid wsp:val=&quot;00F34B99&quot;/&gt;&lt;wsp:rsid wsp:val=&quot;00F354AD&quot;/&gt;&lt;wsp:rsid wsp:val=&quot;00F40A72&quot;/&gt;&lt;wsp:rsid wsp:val=&quot;00F42ED2&quot;/&gt;&lt;wsp:rsid wsp:val=&quot;00F454A4&quot;/&gt;&lt;wsp:rsid wsp:val=&quot;00F45919&quot;/&gt;&lt;wsp:rsid wsp:val=&quot;00F465AD&quot;/&gt;&lt;wsp:rsid wsp:val=&quot;00F473A1&quot;/&gt;&lt;wsp:rsid wsp:val=&quot;00F50545&quot;/&gt;&lt;wsp:rsid wsp:val=&quot;00F52DAB&quot;/&gt;&lt;wsp:rsid wsp:val=&quot;00F53D92&quot;/&gt;&lt;wsp:rsid wsp:val=&quot;00F543F0&quot;/&gt;&lt;wsp:rsid wsp:val=&quot;00F564EA&quot;/&gt;&lt;wsp:rsid wsp:val=&quot;00F60C3A&quot;/&gt;&lt;wsp:rsid wsp:val=&quot;00F6365D&quot;/&gt;&lt;wsp:rsid wsp:val=&quot;00F64CF3&quot;/&gt;&lt;wsp:rsid wsp:val=&quot;00F725BE&quot;/&gt;&lt;wsp:rsid wsp:val=&quot;00F73A07&quot;/&gt;&lt;wsp:rsid wsp:val=&quot;00F772E1&quot;/&gt;&lt;wsp:rsid wsp:val=&quot;00F81279&quot;/&gt;&lt;wsp:rsid wsp:val=&quot;00F81D29&quot;/&gt;&lt;wsp:rsid wsp:val=&quot;00F878EC&quot;/&gt;&lt;wsp:rsid wsp:val=&quot;00F91C4D&quot;/&gt;&lt;wsp:rsid wsp:val=&quot;00F92775&quot;/&gt;&lt;wsp:rsid wsp:val=&quot;00F92FD9&quot;/&gt;&lt;wsp:rsid wsp:val=&quot;00F932F4&quot;/&gt;&lt;wsp:rsid wsp:val=&quot;00F95DF4&quot;/&gt;&lt;wsp:rsid wsp:val=&quot;00F97A45&quot;/&gt;&lt;wsp:rsid wsp:val=&quot;00F97FD6&quot;/&gt;&lt;wsp:rsid wsp:val=&quot;00FA185B&quot;/&gt;&lt;wsp:rsid wsp:val=&quot;00FA326F&quot;/&gt;&lt;wsp:rsid wsp:val=&quot;00FA5AA5&quot;/&gt;&lt;wsp:rsid wsp:val=&quot;00FA5C8F&quot;/&gt;&lt;wsp:rsid wsp:val=&quot;00FA6684&quot;/&gt;&lt;wsp:rsid wsp:val=&quot;00FA731E&quot;/&gt;&lt;wsp:rsid wsp:val=&quot;00FA7437&quot;/&gt;&lt;wsp:rsid wsp:val=&quot;00FB0511&quot;/&gt;&lt;wsp:rsid wsp:val=&quot;00FB0D9D&quot;/&gt;&lt;wsp:rsid wsp:val=&quot;00FB2B38&quot;/&gt;&lt;wsp:rsid wsp:val=&quot;00FB4B90&quot;/&gt;&lt;wsp:rsid wsp:val=&quot;00FB598B&quot;/&gt;&lt;wsp:rsid wsp:val=&quot;00FB7777&quot;/&gt;&lt;wsp:rsid wsp:val=&quot;00FC368F&quot;/&gt;&lt;wsp:rsid wsp:val=&quot;00FC6358&quot;/&gt;&lt;wsp:rsid wsp:val=&quot;00FD2AB0&quot;/&gt;&lt;wsp:rsid wsp:val=&quot;00FD320D&quot;/&gt;&lt;wsp:rsid wsp:val=&quot;00FE045B&quot;/&gt;&lt;wsp:rsid wsp:val=&quot;00FE1034&quot;/&gt;&lt;wsp:rsid wsp:val=&quot;00FE23DE&quot;/&gt;&lt;wsp:rsid wsp:val=&quot;00FE52AC&quot;/&gt;&lt;wsp:rsid wsp:val=&quot;00FE7B37&quot;/&gt;&lt;wsp:rsid wsp:val=&quot;00FF0F2D&quot;/&gt;&lt;wsp:rsid wsp:val=&quot;00FF25C5&quot;/&gt;&lt;wsp:rsid wsp:val=&quot;00FF3547&quot;/&gt;&lt;wsp:rsid wsp:val=&quot;00FF368A&quot;/&gt;&lt;wsp:rsid wsp:val=&quot;00FF4818&quot;/&gt;&lt;wsp:rsid wsp:val=&quot;01C62D48&quot;/&gt;&lt;wsp:rsid wsp:val=&quot;01E53740&quot;/&gt;&lt;wsp:rsid wsp:val=&quot;02B332D5&quot;/&gt;&lt;wsp:rsid wsp:val=&quot;03681A32&quot;/&gt;&lt;wsp:rsid wsp:val=&quot;03C542B0&quot;/&gt;&lt;wsp:rsid wsp:val=&quot;03FA3578&quot;/&gt;&lt;wsp:rsid wsp:val=&quot;04863DF1&quot;/&gt;&lt;wsp:rsid wsp:val=&quot;055B01E9&quot;/&gt;&lt;wsp:rsid wsp:val=&quot;058478B8&quot;/&gt;&lt;wsp:rsid wsp:val=&quot;060B2A6E&quot;/&gt;&lt;wsp:rsid wsp:val=&quot;060B44DD&quot;/&gt;&lt;wsp:rsid wsp:val=&quot;083511AC&quot;/&gt;&lt;wsp:rsid wsp:val=&quot;08534192&quot;/&gt;&lt;wsp:rsid wsp:val=&quot;09365EE1&quot;/&gt;&lt;wsp:rsid wsp:val=&quot;0B234BCF&quot;/&gt;&lt;wsp:rsid wsp:val=&quot;0BBA13D0&quot;/&gt;&lt;wsp:rsid wsp:val=&quot;0DB67C37&quot;/&gt;&lt;wsp:rsid wsp:val=&quot;0DD3296F&quot;/&gt;&lt;wsp:rsid wsp:val=&quot;0E324A35&quot;/&gt;&lt;wsp:rsid wsp:val=&quot;0E666A77&quot;/&gt;&lt;wsp:rsid wsp:val=&quot;0F641085&quot;/&gt;&lt;wsp:rsid wsp:val=&quot;0FAF308A&quot;/&gt;&lt;wsp:rsid wsp:val=&quot;1014305F&quot;/&gt;&lt;wsp:rsid wsp:val=&quot;104B226E&quot;/&gt;&lt;wsp:rsid wsp:val=&quot;1162509B&quot;/&gt;&lt;wsp:rsid wsp:val=&quot;116B3C47&quot;/&gt;&lt;wsp:rsid wsp:val=&quot;123D7D3A&quot;/&gt;&lt;wsp:rsid wsp:val=&quot;1304198A&quot;/&gt;&lt;wsp:rsid wsp:val=&quot;140E4C2C&quot;/&gt;&lt;wsp:rsid wsp:val=&quot;14A913D4&quot;/&gt;&lt;wsp:rsid wsp:val=&quot;1674628D&quot;/&gt;&lt;wsp:rsid wsp:val=&quot;16797427&quot;/&gt;&lt;wsp:rsid wsp:val=&quot;18134D34&quot;/&gt;&lt;wsp:rsid wsp:val=&quot;18B44F27&quot;/&gt;&lt;wsp:rsid wsp:val=&quot;18FF5E1B&quot;/&gt;&lt;wsp:rsid wsp:val=&quot;193D6DD3&quot;/&gt;&lt;wsp:rsid wsp:val=&quot;19B33C86&quot;/&gt;&lt;wsp:rsid wsp:val=&quot;19E50BD2&quot;/&gt;&lt;wsp:rsid wsp:val=&quot;1A8573D0&quot;/&gt;&lt;wsp:rsid wsp:val=&quot;1B48537F&quot;/&gt;&lt;wsp:rsid wsp:val=&quot;1E462018&quot;/&gt;&lt;wsp:rsid wsp:val=&quot;1EAF69BE&quot;/&gt;&lt;wsp:rsid wsp:val=&quot;1F3B665D&quot;/&gt;&lt;wsp:rsid wsp:val=&quot;20C46145&quot;/&gt;&lt;wsp:rsid wsp:val=&quot;22693611&quot;/&gt;&lt;wsp:rsid wsp:val=&quot;231F3783&quot;/&gt;&lt;wsp:rsid wsp:val=&quot;23910F38&quot;/&gt;&lt;wsp:rsid wsp:val=&quot;23D67AFB&quot;/&gt;&lt;wsp:rsid wsp:val=&quot;23DF0EB4&quot;/&gt;&lt;wsp:rsid wsp:val=&quot;246928A9&quot;/&gt;&lt;wsp:rsid wsp:val=&quot;251C5E24&quot;/&gt;&lt;wsp:rsid wsp:val=&quot;263F0B23&quot;/&gt;&lt;wsp:rsid wsp:val=&quot;271378F9&quot;/&gt;&lt;wsp:rsid wsp:val=&quot;27212E7E&quot;/&gt;&lt;wsp:rsid wsp:val=&quot;274B037B&quot;/&gt;&lt;wsp:rsid wsp:val=&quot;275625D4&quot;/&gt;&lt;wsp:rsid wsp:val=&quot;278642B9&quot;/&gt;&lt;wsp:rsid wsp:val=&quot;27B16DB9&quot;/&gt;&lt;wsp:rsid wsp:val=&quot;29095FEC&quot;/&gt;&lt;wsp:rsid wsp:val=&quot;299571DD&quot;/&gt;&lt;wsp:rsid wsp:val=&quot;29B03B3D&quot;/&gt;&lt;wsp:rsid wsp:val=&quot;29C44178&quot;/&gt;&lt;wsp:rsid wsp:val=&quot;2A5F371D&quot;/&gt;&lt;wsp:rsid wsp:val=&quot;2CAB7162&quot;/&gt;&lt;wsp:rsid wsp:val=&quot;2D8D708E&quot;/&gt;&lt;wsp:rsid wsp:val=&quot;2EF8281E&quot;/&gt;&lt;wsp:rsid wsp:val=&quot;30826EAF&quot;/&gt;&lt;wsp:rsid wsp:val=&quot;31755235&quot;/&gt;&lt;wsp:rsid wsp:val=&quot;31A05654&quot;/&gt;&lt;wsp:rsid wsp:val=&quot;3387044D&quot;/&gt;&lt;wsp:rsid wsp:val=&quot;34A1085D&quot;/&gt;&lt;wsp:rsid wsp:val=&quot;35360102&quot;/&gt;&lt;wsp:rsid wsp:val=&quot;36105FE6&quot;/&gt;&lt;wsp:rsid wsp:val=&quot;379F388A&quot;/&gt;&lt;wsp:rsid wsp:val=&quot;37E50EEC&quot;/&gt;&lt;wsp:rsid wsp:val=&quot;391F38BA&quot;/&gt;&lt;wsp:rsid wsp:val=&quot;39573DE7&quot;/&gt;&lt;wsp:rsid wsp:val=&quot;3A4D0833&quot;/&gt;&lt;wsp:rsid wsp:val=&quot;3A5A64B6&quot;/&gt;&lt;wsp:rsid wsp:val=&quot;3A6C57A0&quot;/&gt;&lt;wsp:rsid wsp:val=&quot;3AD76807&quot;/&gt;&lt;wsp:rsid wsp:val=&quot;3B20746F&quot;/&gt;&lt;wsp:rsid wsp:val=&quot;3C316C4A&quot;/&gt;&lt;wsp:rsid wsp:val=&quot;3C8E6EB7&quot;/&gt;&lt;wsp:rsid wsp:val=&quot;3C9D065D&quot;/&gt;&lt;wsp:rsid wsp:val=&quot;3D5D0801&quot;/&gt;&lt;wsp:rsid wsp:val=&quot;3DA20F77&quot;/&gt;&lt;wsp:rsid wsp:val=&quot;3DA50DBA&quot;/&gt;&lt;wsp:rsid wsp:val=&quot;3DF406FE&quot;/&gt;&lt;wsp:rsid wsp:val=&quot;3F1A1FF3&quot;/&gt;&lt;wsp:rsid wsp:val=&quot;3F8454CF&quot;/&gt;&lt;wsp:rsid wsp:val=&quot;406B4902&quot;/&gt;&lt;wsp:rsid wsp:val=&quot;40DB6814&quot;/&gt;&lt;wsp:rsid wsp:val=&quot;41121D5B&quot;/&gt;&lt;wsp:rsid wsp:val=&quot;43012D6A&quot;/&gt;&lt;wsp:rsid wsp:val=&quot;44F9677E&quot;/&gt;&lt;wsp:rsid wsp:val=&quot;45C600D7&quot;/&gt;&lt;wsp:rsid wsp:val=&quot;469D6A0A&quot;/&gt;&lt;wsp:rsid wsp:val=&quot;47D02E35&quot;/&gt;&lt;wsp:rsid wsp:val=&quot;480B4068&quot;/&gt;&lt;wsp:rsid wsp:val=&quot;485045E9&quot;/&gt;&lt;wsp:rsid wsp:val=&quot;48BF047F&quot;/&gt;&lt;wsp:rsid wsp:val=&quot;490B481D&quot;/&gt;&lt;wsp:rsid wsp:val=&quot;49457E5E&quot;/&gt;&lt;wsp:rsid wsp:val=&quot;497D59AE&quot;/&gt;&lt;wsp:rsid wsp:val=&quot;4997570E&quot;/&gt;&lt;wsp:rsid wsp:val=&quot;49C23EBF&quot;/&gt;&lt;wsp:rsid wsp:val=&quot;4A1C4740&quot;/&gt;&lt;wsp:rsid wsp:val=&quot;4C046336&quot;/&gt;&lt;wsp:rsid wsp:val=&quot;4DED7982&quot;/&gt;&lt;wsp:rsid wsp:val=&quot;4E952544&quot;/&gt;&lt;wsp:rsid wsp:val=&quot;4F4C235C&quot;/&gt;&lt;wsp:rsid wsp:val=&quot;4FDA7058&quot;/&gt;&lt;wsp:rsid wsp:val=&quot;4FF14017&quot;/&gt;&lt;wsp:rsid wsp:val=&quot;50704E69&quot;/&gt;&lt;wsp:rsid wsp:val=&quot;50C55819&quot;/&gt;&lt;wsp:rsid wsp:val=&quot;510312B6&quot;/&gt;&lt;wsp:rsid wsp:val=&quot;51966AE4&quot;/&gt;&lt;wsp:rsid wsp:val=&quot;51BD49D4&quot;/&gt;&lt;wsp:rsid wsp:val=&quot;51E61B27&quot;/&gt;&lt;wsp:rsid wsp:val=&quot;51F93AD1&quot;/&gt;&lt;wsp:rsid wsp:val=&quot;52A4172C&quot;/&gt;&lt;wsp:rsid wsp:val=&quot;53272981&quot;/&gt;&lt;wsp:rsid wsp:val=&quot;54071B5A&quot;/&gt;&lt;wsp:rsid wsp:val=&quot;5489085C&quot;/&gt;&lt;wsp:rsid wsp:val=&quot;55846796&quot;/&gt;&lt;wsp:rsid wsp:val=&quot;57932FFF&quot;/&gt;&lt;wsp:rsid wsp:val=&quot;57B871FC&quot;/&gt;&lt;wsp:rsid wsp:val=&quot;57FE047A&quot;/&gt;&lt;wsp:rsid wsp:val=&quot;586842DC&quot;/&gt;&lt;wsp:rsid wsp:val=&quot;589155BD&quot;/&gt;&lt;wsp:rsid wsp:val=&quot;598B7273&quot;/&gt;&lt;wsp:rsid wsp:val=&quot;59CC118D&quot;/&gt;&lt;wsp:rsid wsp:val=&quot;5A2035FE&quot;/&gt;&lt;wsp:rsid wsp:val=&quot;5A7828A7&quot;/&gt;&lt;wsp:rsid wsp:val=&quot;5AF05846&quot;/&gt;&lt;wsp:rsid wsp:val=&quot;5AF43CAC&quot;/&gt;&lt;wsp:rsid wsp:val=&quot;5B35363D&quot;/&gt;&lt;wsp:rsid wsp:val=&quot;5B986997&quot;/&gt;&lt;wsp:rsid wsp:val=&quot;5BA33D5E&quot;/&gt;&lt;wsp:rsid wsp:val=&quot;5BA85B56&quot;/&gt;&lt;wsp:rsid wsp:val=&quot;5C174E65&quot;/&gt;&lt;wsp:rsid wsp:val=&quot;5CED6989&quot;/&gt;&lt;wsp:rsid wsp:val=&quot;5E161DFA&quot;/&gt;&lt;wsp:rsid wsp:val=&quot;5E72781C&quot;/&gt;&lt;wsp:rsid wsp:val=&quot;5F634F6A&quot;/&gt;&lt;wsp:rsid wsp:val=&quot;60A070B6&quot;/&gt;&lt;wsp:rsid wsp:val=&quot;60E5021C&quot;/&gt;&lt;wsp:rsid wsp:val=&quot;61344B8A&quot;/&gt;&lt;wsp:rsid wsp:val=&quot;616213CB&quot;/&gt;&lt;wsp:rsid wsp:val=&quot;61AE250C&quot;/&gt;&lt;wsp:rsid wsp:val=&quot;61D75C2A&quot;/&gt;&lt;wsp:rsid wsp:val=&quot;62BE4502&quot;/&gt;&lt;wsp:rsid wsp:val=&quot;62C64A30&quot;/&gt;&lt;wsp:rsid wsp:val=&quot;62D11399&quot;/&gt;&lt;wsp:rsid wsp:val=&quot;631745D0&quot;/&gt;&lt;wsp:rsid wsp:val=&quot;63207484&quot;/&gt;&lt;wsp:rsid wsp:val=&quot;63612CF5&quot;/&gt;&lt;wsp:rsid wsp:val=&quot;64101701&quot;/&gt;&lt;wsp:rsid wsp:val=&quot;644D0105&quot;/&gt;&lt;wsp:rsid wsp:val=&quot;649552D7&quot;/&gt;&lt;wsp:rsid wsp:val=&quot;65004F70&quot;/&gt;&lt;wsp:rsid wsp:val=&quot;657866A6&quot;/&gt;&lt;wsp:rsid wsp:val=&quot;662B6549&quot;/&gt;&lt;wsp:rsid wsp:val=&quot;664D3845&quot;/&gt;&lt;wsp:rsid wsp:val=&quot;66893570&quot;/&gt;&lt;wsp:rsid wsp:val=&quot;66DE6B7F&quot;/&gt;&lt;wsp:rsid wsp:val=&quot;67666701&quot;/&gt;&lt;wsp:rsid wsp:val=&quot;68381A63&quot;/&gt;&lt;wsp:rsid wsp:val=&quot;691F6CDC&quot;/&gt;&lt;wsp:rsid wsp:val=&quot;6A893C73&quot;/&gt;&lt;wsp:rsid wsp:val=&quot;6B955D6B&quot;/&gt;&lt;wsp:rsid wsp:val=&quot;6B967131&quot;/&gt;&lt;wsp:rsid wsp:val=&quot;6C385121&quot;/&gt;&lt;wsp:rsid wsp:val=&quot;6D26244C&quot;/&gt;&lt;wsp:rsid wsp:val=&quot;6DF15FD4&quot;/&gt;&lt;wsp:rsid wsp:val=&quot;6E553FD1&quot;/&gt;&lt;wsp:rsid wsp:val=&quot;6F53357B&quot;/&gt;&lt;wsp:rsid wsp:val=&quot;6F600B59&quot;/&gt;&lt;wsp:rsid wsp:val=&quot;6FC24524&quot;/&gt;&lt;wsp:rsid wsp:val=&quot;704926F5&quot;/&gt;&lt;wsp:rsid wsp:val=&quot;704A2696&quot;/&gt;&lt;wsp:rsid wsp:val=&quot;705468DD&quot;/&gt;&lt;wsp:rsid wsp:val=&quot;70874AA4&quot;/&gt;&lt;wsp:rsid wsp:val=&quot;71054DCA&quot;/&gt;&lt;wsp:rsid wsp:val=&quot;72007084&quot;/&gt;&lt;wsp:rsid wsp:val=&quot;726B29CB&quot;/&gt;&lt;wsp:rsid wsp:val=&quot;74431F27&quot;/&gt;&lt;wsp:rsid wsp:val=&quot;751525EF&quot;/&gt;&lt;wsp:rsid wsp:val=&quot;751C5F11&quot;/&gt;&lt;wsp:rsid wsp:val=&quot;75E516B2&quot;/&gt;&lt;wsp:rsid wsp:val=&quot;76FC6002&quot;/&gt;&lt;wsp:rsid wsp:val=&quot;77592C23&quot;/&gt;&lt;wsp:rsid wsp:val=&quot;78781BC8&quot;/&gt;&lt;wsp:rsid wsp:val=&quot;78960E71&quot;/&gt;&lt;wsp:rsid wsp:val=&quot;79026491&quot;/&gt;&lt;wsp:rsid wsp:val=&quot;7A746846&quot;/&gt;&lt;wsp:rsid wsp:val=&quot;7ACF1B11&quot;/&gt;&lt;wsp:rsid wsp:val=&quot;7AF31EA3&quot;/&gt;&lt;wsp:rsid wsp:val=&quot;7B3F597F&quot;/&gt;&lt;wsp:rsid wsp:val=&quot;7BC05AF2&quot;/&gt;&lt;wsp:rsid wsp:val=&quot;7BC87BFD&quot;/&gt;&lt;wsp:rsid wsp:val=&quot;7D4E2483&quot;/&gt;&lt;wsp:rsid wsp:val=&quot;7DA70946&quot;/&gt;&lt;wsp:rsid wsp:val=&quot;7DA774C5&quot;/&gt;&lt;wsp:rsid wsp:val=&quot;7E4F72C6&quot;/&gt;&lt;wsp:rsid wsp:val=&quot;7E6E4C49&quot;/&gt;&lt;wsp:rsid wsp:val=&quot;7EF623B7&quot;/&gt;&lt;/wsp:rsids&gt;&lt;/w:docPr&gt;&lt;w:body&gt;&lt;wx:sect&gt;&lt;w:p wsp:rsidR=&quot;00000000&quot; wsp:rsidRDefault=&quot;006D6A91&quot; wsp:rsidP=&quot;006D6A9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ω&lt;/m:t&gt;&lt;/m:r&gt;&lt;/m:e&gt;&lt;m:sub&gt;&lt;m:r&gt;&lt;w:rPr&gt;&lt;w:rFonts w:ascii=&quot;Cambria Math&quot;/&gt;&lt;wx:font wx:val=&quot;Cambria Math&quot;/&gt;&lt;w:i/&gt;&lt;/w:rPr&gt;&lt;m:t&gt;ij&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fldChar w:fldCharType="end"/>
      </w:r>
      <w:r>
        <w:rPr>
          <w:rFonts w:hint="eastAsia"/>
        </w:rPr>
        <w:t>为第i个一级指标下的第j个二级指标的权重</w:t>
      </w:r>
      <w:r>
        <w:rPr>
          <w:rFonts w:hint="eastAsia"/>
          <w:szCs w:val="21"/>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default" w:ascii="黑体" w:hAnsi="黑体" w:eastAsia="宋体" w:cs="黑体"/>
          <w:lang w:val="en-US" w:eastAsia="zh-CN"/>
        </w:rPr>
      </w:pPr>
      <w:r>
        <w:rPr>
          <w:rFonts w:hint="eastAsia" w:ascii="黑体" w:hAnsi="黑体" w:eastAsia="黑体" w:cs="黑体"/>
          <w:lang w:val="en-US" w:eastAsia="zh-CN"/>
        </w:rPr>
        <w:t>5.2.3</w:t>
      </w:r>
      <w:r>
        <w:rPr>
          <w:rFonts w:hint="eastAsia" w:hAnsi="黑体" w:cs="黑体"/>
          <w:lang w:val="en-US" w:eastAsia="zh-CN"/>
        </w:rPr>
        <w:t xml:space="preserve">  </w:t>
      </w:r>
      <w:bookmarkStart w:id="12" w:name="_Toc512129325"/>
      <w:r>
        <w:rPr>
          <w:rFonts w:hint="eastAsia" w:ascii="黑体" w:eastAsia="黑体"/>
        </w:rPr>
        <w:t>综合评价指数计算</w:t>
      </w:r>
      <w:bookmarkEnd w:id="12"/>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szCs w:val="21"/>
          <w:lang w:eastAsia="zh-CN"/>
        </w:rPr>
        <w:t>通过加权平均、逐层收敛可得到评价对象在不同级别g</w:t>
      </w:r>
      <w:r>
        <w:rPr>
          <w:rFonts w:hint="eastAsia"/>
          <w:szCs w:val="21"/>
          <w:vertAlign w:val="subscript"/>
          <w:lang w:eastAsia="zh-CN"/>
        </w:rPr>
        <w:t>k</w:t>
      </w:r>
      <w:r>
        <w:rPr>
          <w:rFonts w:hint="eastAsia"/>
          <w:szCs w:val="21"/>
          <w:lang w:eastAsia="zh-CN"/>
        </w:rPr>
        <w:t>的得分Y</w:t>
      </w:r>
      <w:r>
        <w:rPr>
          <w:rFonts w:hint="eastAsia"/>
          <w:szCs w:val="21"/>
          <w:vertAlign w:val="subscript"/>
          <w:lang w:eastAsia="zh-CN"/>
        </w:rPr>
        <w:t>gk</w:t>
      </w:r>
      <w:r>
        <w:rPr>
          <w:rFonts w:hint="eastAsia"/>
          <w:szCs w:val="21"/>
          <w:lang w:eastAsia="zh-CN"/>
        </w:rPr>
        <w:t>，如公式（5-2）所示。Y</w:t>
      </w:r>
      <w:r>
        <w:rPr>
          <w:rFonts w:hint="eastAsia"/>
          <w:szCs w:val="21"/>
          <w:vertAlign w:val="subscript"/>
          <w:lang w:eastAsia="zh-CN"/>
        </w:rPr>
        <w:t>g1</w:t>
      </w:r>
      <w:r>
        <w:rPr>
          <w:rFonts w:hint="eastAsia"/>
          <w:szCs w:val="21"/>
          <w:lang w:eastAsia="zh-CN"/>
        </w:rPr>
        <w:t>等同于Y</w:t>
      </w:r>
      <w:r>
        <w:rPr>
          <w:rFonts w:hint="eastAsia"/>
          <w:szCs w:val="21"/>
          <w:vertAlign w:val="subscript"/>
          <w:lang w:eastAsia="zh-CN"/>
        </w:rPr>
        <w:t>Ⅰ</w:t>
      </w:r>
      <w:r>
        <w:rPr>
          <w:rFonts w:hint="eastAsia"/>
          <w:szCs w:val="21"/>
          <w:lang w:eastAsia="zh-CN"/>
        </w:rPr>
        <w:t>、Y</w:t>
      </w:r>
      <w:r>
        <w:rPr>
          <w:rFonts w:hint="eastAsia"/>
          <w:szCs w:val="21"/>
          <w:vertAlign w:val="subscript"/>
          <w:lang w:eastAsia="zh-CN"/>
        </w:rPr>
        <w:t>g2</w:t>
      </w:r>
      <w:r>
        <w:rPr>
          <w:rFonts w:hint="eastAsia"/>
          <w:szCs w:val="21"/>
          <w:lang w:eastAsia="zh-CN"/>
        </w:rPr>
        <w:t>等同于Y</w:t>
      </w:r>
      <w:r>
        <w:rPr>
          <w:rFonts w:hint="eastAsia"/>
          <w:szCs w:val="21"/>
          <w:vertAlign w:val="subscript"/>
          <w:lang w:eastAsia="zh-CN"/>
        </w:rPr>
        <w:t>Ⅱ</w:t>
      </w:r>
      <w:r>
        <w:rPr>
          <w:rFonts w:hint="eastAsia"/>
          <w:szCs w:val="21"/>
          <w:lang w:eastAsia="zh-CN"/>
        </w:rPr>
        <w:t>、Y</w:t>
      </w:r>
      <w:r>
        <w:rPr>
          <w:rFonts w:hint="eastAsia"/>
          <w:szCs w:val="21"/>
          <w:vertAlign w:val="subscript"/>
          <w:lang w:eastAsia="zh-CN"/>
        </w:rPr>
        <w:t>g3</w:t>
      </w:r>
      <w:r>
        <w:rPr>
          <w:rFonts w:hint="eastAsia"/>
          <w:szCs w:val="21"/>
          <w:lang w:eastAsia="zh-CN"/>
        </w:rPr>
        <w:t>等同于Y</w:t>
      </w:r>
      <w:r>
        <w:rPr>
          <w:rFonts w:hint="eastAsia"/>
          <w:szCs w:val="21"/>
          <w:vertAlign w:val="subscript"/>
          <w:lang w:eastAsia="zh-CN"/>
        </w:rPr>
        <w:t>Ⅲ</w:t>
      </w:r>
      <w:r>
        <w:rPr>
          <w:rFonts w:hint="eastAsia"/>
          <w:szCs w:val="21"/>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szCs w:val="21"/>
          <w:lang w:eastAsia="zh-CN"/>
        </w:rPr>
      </w:pPr>
      <w:r>
        <w:fldChar w:fldCharType="begin"/>
      </w:r>
      <w:r>
        <w:instrText xml:space="preserve"> QUOTE </w:instrText>
      </w:r>
      <w:r>
        <w:rPr>
          <w:rFonts w:hint="eastAsia"/>
          <w:position w:val="-24"/>
        </w:rPr>
        <w:pict>
          <v:shape id="_x0000_i1038"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m:oMath>
        <m:sSub>
          <m:sSubPr>
            <m:ctrlPr>
              <w:rPr>
                <w:rFonts w:ascii="Cambria Math"/>
                <w:i/>
              </w:rPr>
            </m:ctrlPr>
          </m:sSubPr>
          <m:e>
            <m:sSub>
              <m:sSubPr>
                <m:ctrlPr>
                  <w:rPr>
                    <w:rFonts w:ascii="Cambria Math"/>
                    <w:i/>
                  </w:rPr>
                </m:ctrlPr>
              </m:sSubPr>
              <m:e>
                <m:r>
                  <m:rPr/>
                  <w:rPr>
                    <w:rFonts w:ascii="Cambria Math"/>
                  </w:rPr>
                  <m:t>Y</m:t>
                </m:r>
                <m:ctrlPr>
                  <w:rPr>
                    <w:rFonts w:ascii="Cambria Math"/>
                    <w:i/>
                  </w:rPr>
                </m:ctrlPr>
              </m:e>
              <m:sub>
                <m:r>
                  <m:rPr/>
                  <w:rPr>
                    <w:rFonts w:ascii="Cambria Math"/>
                  </w:rPr>
                  <m:t>g</m:t>
                </m:r>
                <m:ctrlPr>
                  <w:rPr>
                    <w:rFonts w:ascii="Cambria Math"/>
                    <w:i/>
                  </w:rPr>
                </m:ctrlPr>
              </m:sub>
            </m:sSub>
            <m:ctrlPr>
              <w:rPr>
                <w:rFonts w:ascii="Cambria Math"/>
                <w:i/>
              </w:rPr>
            </m:ctrlPr>
          </m:e>
          <m:sub>
            <m:r>
              <m:rPr/>
              <w:rPr>
                <w:rFonts w:ascii="Cambria Math"/>
              </w:rPr>
              <m:t>k</m:t>
            </m:r>
            <m:ctrlPr>
              <w:rPr>
                <w:rFonts w:ascii="Cambria Math"/>
                <w:i/>
              </w:rPr>
            </m:ctrlPr>
          </m:sub>
        </m:sSub>
        <m:r>
          <m:rPr/>
          <w:rPr>
            <w:rFonts w:ascii="Cambria Math"/>
          </w:rPr>
          <m:t>=</m:t>
        </m:r>
        <m:nary>
          <m:naryPr>
            <m:chr m:val="∑"/>
            <m:ctrlPr>
              <w:rPr>
                <w:rFonts w:ascii="Cambria Math"/>
                <w:i/>
              </w:rPr>
            </m:ctrlPr>
          </m:naryPr>
          <m:sub>
            <m:r>
              <m:rPr/>
              <w:rPr>
                <w:rFonts w:ascii="Cambria Math"/>
              </w:rPr>
              <m:t>i=1</m:t>
            </m:r>
            <m:ctrlPr>
              <w:rPr>
                <w:rFonts w:ascii="Cambria Math"/>
                <w:i/>
              </w:rPr>
            </m:ctrlPr>
          </m:sub>
          <m:sup>
            <m:r>
              <m:rPr/>
              <w:rPr>
                <w:rFonts w:ascii="Cambria Math"/>
              </w:rPr>
              <m:t>m</m:t>
            </m:r>
            <m:ctrlPr>
              <w:rPr>
                <w:rFonts w:ascii="Cambria Math"/>
                <w:i/>
              </w:rPr>
            </m:ctrlPr>
          </m:sup>
          <m:e>
            <m:r>
              <m:rPr/>
              <w:rPr>
                <w:rFonts w:ascii="Cambria Math"/>
              </w:rPr>
              <m:t>(</m:t>
            </m:r>
            <m:sSub>
              <m:sSubPr>
                <m:ctrlPr>
                  <w:rPr>
                    <w:rFonts w:ascii="Cambria Math"/>
                    <w:i/>
                  </w:rPr>
                </m:ctrlPr>
              </m:sSubPr>
              <m:e>
                <m:r>
                  <m:rPr/>
                  <w:rPr>
                    <w:rFonts w:ascii="Cambria Math"/>
                  </w:rPr>
                  <m:t>w</m:t>
                </m:r>
                <m:ctrlPr>
                  <w:rPr>
                    <w:rFonts w:ascii="Cambria Math"/>
                    <w:i/>
                  </w:rPr>
                </m:ctrlPr>
              </m:e>
              <m:sub>
                <m:r>
                  <m:rPr/>
                  <w:rPr>
                    <w:rFonts w:ascii="Cambria Math"/>
                  </w:rPr>
                  <m:t>i</m:t>
                </m:r>
                <m:ctrlPr>
                  <w:rPr>
                    <w:rFonts w:ascii="Cambria Math"/>
                    <w:i/>
                  </w:rPr>
                </m:ctrlPr>
              </m:sub>
            </m:sSub>
            <m:nary>
              <m:naryPr>
                <m:chr m:val="∑"/>
                <m:ctrlPr>
                  <w:rPr>
                    <w:rFonts w:ascii="Cambria Math"/>
                    <w:i/>
                  </w:rPr>
                </m:ctrlPr>
              </m:naryPr>
              <m:sub>
                <m:r>
                  <m:rPr/>
                  <w:rPr>
                    <w:rFonts w:ascii="Cambria Math"/>
                  </w:rPr>
                  <m:t>j=1</m:t>
                </m:r>
                <m:ctrlPr>
                  <w:rPr>
                    <w:rFonts w:ascii="Cambria Math"/>
                    <w:i/>
                  </w:rPr>
                </m:ctrlPr>
              </m:sub>
              <m:sup>
                <m:sSub>
                  <m:sSubPr>
                    <m:ctrlPr>
                      <w:rPr>
                        <w:rFonts w:ascii="Cambria Math"/>
                        <w:i/>
                      </w:rPr>
                    </m:ctrlPr>
                  </m:sSubPr>
                  <m:e>
                    <m:r>
                      <m:rPr/>
                      <w:rPr>
                        <w:rFonts w:ascii="Cambria Math"/>
                      </w:rPr>
                      <m:t>n</m:t>
                    </m:r>
                    <m:ctrlPr>
                      <w:rPr>
                        <w:rFonts w:ascii="Cambria Math"/>
                        <w:i/>
                      </w:rPr>
                    </m:ctrlPr>
                  </m:e>
                  <m:sub>
                    <m:r>
                      <m:rPr/>
                      <w:rPr>
                        <w:rFonts w:ascii="Cambria Math"/>
                      </w:rPr>
                      <m:t>i</m:t>
                    </m:r>
                    <m:ctrlPr>
                      <w:rPr>
                        <w:rFonts w:ascii="Cambria Math"/>
                        <w:i/>
                      </w:rPr>
                    </m:ctrlPr>
                  </m:sub>
                </m:sSub>
                <m:ctrlPr>
                  <w:rPr>
                    <w:rFonts w:ascii="Cambria Math"/>
                    <w:i/>
                  </w:rPr>
                </m:ctrlPr>
              </m:sup>
              <m:e>
                <m:sSub>
                  <m:sSubPr>
                    <m:ctrlPr>
                      <w:rPr>
                        <w:rFonts w:ascii="Cambria Math"/>
                        <w:i/>
                      </w:rPr>
                    </m:ctrlPr>
                  </m:sSubPr>
                  <m:e>
                    <m:r>
                      <m:rPr/>
                      <w:rPr>
                        <w:rFonts w:ascii="Cambria Math"/>
                      </w:rPr>
                      <m:t>ω</m:t>
                    </m:r>
                    <m:ctrlPr>
                      <w:rPr>
                        <w:rFonts w:ascii="Cambria Math"/>
                        <w:i/>
                      </w:rPr>
                    </m:ctrlPr>
                  </m:e>
                  <m:sub>
                    <m:r>
                      <m:rPr/>
                      <w:rPr>
                        <w:rFonts w:ascii="Cambria Math"/>
                      </w:rPr>
                      <m:t>ij</m:t>
                    </m:r>
                    <m:ctrlPr>
                      <w:rPr>
                        <w:rFonts w:ascii="Cambria Math"/>
                        <w:i/>
                      </w:rPr>
                    </m:ctrlPr>
                  </m:sub>
                </m:sSub>
                <m:sSub>
                  <m:sSubPr>
                    <m:ctrlPr>
                      <w:rPr>
                        <w:rFonts w:ascii="Cambria Math"/>
                        <w:i/>
                      </w:rPr>
                    </m:ctrlPr>
                  </m:sSubPr>
                  <m:e>
                    <m:sSub>
                      <m:sSubPr>
                        <m:ctrlPr>
                          <w:rPr>
                            <w:rFonts w:ascii="Cambria Math"/>
                            <w:i/>
                          </w:rPr>
                        </m:ctrlPr>
                      </m:sSubPr>
                      <m:e>
                        <m:r>
                          <m:rPr/>
                          <w:rPr>
                            <w:rFonts w:ascii="Cambria Math"/>
                          </w:rPr>
                          <m:t>Y</m:t>
                        </m:r>
                        <m:ctrlPr>
                          <w:rPr>
                            <w:rFonts w:ascii="Cambria Math"/>
                            <w:i/>
                          </w:rPr>
                        </m:ctrlPr>
                      </m:e>
                      <m:sub>
                        <m:r>
                          <m:rPr/>
                          <w:rPr>
                            <w:rFonts w:ascii="Cambria Math"/>
                          </w:rPr>
                          <m:t>g</m:t>
                        </m:r>
                        <m:ctrlPr>
                          <w:rPr>
                            <w:rFonts w:ascii="Cambria Math"/>
                            <w:i/>
                          </w:rPr>
                        </m:ctrlPr>
                      </m:sub>
                    </m:sSub>
                    <m:ctrlPr>
                      <w:rPr>
                        <w:rFonts w:ascii="Cambria Math"/>
                        <w:i/>
                      </w:rPr>
                    </m:ctrlPr>
                  </m:e>
                  <m:sub>
                    <m:r>
                      <m:rPr/>
                      <w:rPr>
                        <w:rFonts w:ascii="Cambria Math"/>
                      </w:rPr>
                      <m:t>k</m:t>
                    </m:r>
                    <m:ctrlPr>
                      <w:rPr>
                        <w:rFonts w:ascii="Cambria Math"/>
                        <w:i/>
                      </w:rPr>
                    </m:ctrlPr>
                  </m:sub>
                </m:sSub>
                <m:r>
                  <m:rPr/>
                  <w:rPr>
                    <w:rFonts w:ascii="Cambria Math"/>
                  </w:rPr>
                  <m:t>(</m:t>
                </m:r>
                <m:sSub>
                  <m:sSubPr>
                    <m:ctrlPr>
                      <w:rPr>
                        <w:rFonts w:ascii="Cambria Math"/>
                        <w:i/>
                      </w:rPr>
                    </m:ctrlPr>
                  </m:sSubPr>
                  <m:e>
                    <m:r>
                      <m:rPr/>
                      <w:rPr>
                        <w:rFonts w:ascii="Cambria Math"/>
                      </w:rPr>
                      <m:t>x</m:t>
                    </m:r>
                    <m:ctrlPr>
                      <w:rPr>
                        <w:rFonts w:ascii="Cambria Math"/>
                        <w:i/>
                      </w:rPr>
                    </m:ctrlPr>
                  </m:e>
                  <m:sub>
                    <m:r>
                      <m:rPr/>
                      <w:rPr>
                        <w:rFonts w:ascii="Cambria Math"/>
                      </w:rPr>
                      <m:t>ij</m:t>
                    </m:r>
                    <m:ctrlPr>
                      <w:rPr>
                        <w:rFonts w:ascii="Cambria Math"/>
                        <w:i/>
                      </w:rPr>
                    </m:ctrlPr>
                  </m:sub>
                </m:sSub>
                <m:r>
                  <m:rPr/>
                  <w:rPr>
                    <w:rFonts w:ascii="Cambria Math"/>
                  </w:rPr>
                  <m:t>)</m:t>
                </m:r>
                <m:ctrlPr>
                  <w:rPr>
                    <w:rFonts w:ascii="Cambria Math"/>
                    <w:i/>
                  </w:rPr>
                </m:ctrlPr>
              </m:e>
            </m:nary>
            <m:ctrlPr>
              <w:rPr>
                <w:rFonts w:ascii="Cambria Math" w:hAnsi="Cambria Math"/>
                <w:i/>
              </w:rPr>
            </m:ctrlPr>
          </m:e>
        </m:nary>
        <m:r>
          <m:rPr/>
          <w:rPr>
            <w:rFonts w:ascii="Cambria Math"/>
          </w:rPr>
          <m:t>)</m:t>
        </m:r>
      </m:oMath>
      <w:r>
        <w:rPr>
          <w:rFonts w:hint="eastAsia"/>
        </w:rPr>
        <w:t>………………………………………………………（</w:t>
      </w:r>
      <w:r>
        <w:rPr>
          <w:rFonts w:hint="eastAsia"/>
          <w:lang w:val="en-US" w:eastAsia="zh-CN"/>
        </w:rPr>
        <w:t>5-2</w:t>
      </w:r>
      <w:r>
        <w:rPr>
          <w:rFonts w:hint="eastAsia"/>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default" w:ascii="黑体" w:hAnsi="黑体" w:eastAsia="宋体" w:cs="黑体"/>
          <w:lang w:val="en-US" w:eastAsia="zh-CN"/>
        </w:rPr>
      </w:pPr>
      <w:r>
        <w:rPr>
          <w:rFonts w:hint="eastAsia" w:ascii="黑体" w:hAnsi="黑体" w:eastAsia="黑体" w:cs="黑体"/>
          <w:lang w:val="en-US" w:eastAsia="zh-CN"/>
        </w:rPr>
        <w:t>5.2.4</w:t>
      </w:r>
      <w:r>
        <w:rPr>
          <w:rFonts w:hint="eastAsia" w:hAnsi="黑体" w:cs="黑体"/>
          <w:lang w:val="en-US" w:eastAsia="zh-CN"/>
        </w:rPr>
        <w:t xml:space="preserve">  </w:t>
      </w:r>
      <w:r>
        <w:rPr>
          <w:rFonts w:hint="eastAsia" w:ascii="黑体" w:eastAsia="黑体"/>
        </w:rPr>
        <w:t>综合评价指数计算步骤</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420" w:firstLineChars="200"/>
        <w:textAlignment w:val="auto"/>
        <w:rPr>
          <w:rFonts w:hint="eastAsia"/>
          <w:lang w:eastAsia="zh-CN"/>
        </w:rPr>
      </w:pPr>
      <w:r>
        <w:rPr>
          <w:rFonts w:hint="eastAsia"/>
        </w:rPr>
        <w:t>第一步：将贵金属饰品加工企业相关指标与Ⅰ级限定性指标进行对比，全部符合要求后，再将企业相关指标与Ⅰ级基准值进行逐项对比，计算综合评价指数得分Y</w:t>
      </w:r>
      <w:r>
        <w:rPr>
          <w:rFonts w:hint="eastAsia"/>
          <w:vertAlign w:val="subscript"/>
        </w:rPr>
        <w:t>Ⅰ</w:t>
      </w:r>
      <w:r>
        <w:rPr>
          <w:rFonts w:hint="eastAsia"/>
        </w:rPr>
        <w:t>，当综合指数得分Y</w:t>
      </w:r>
      <w:r>
        <w:rPr>
          <w:rFonts w:hint="eastAsia"/>
          <w:vertAlign w:val="subscript"/>
        </w:rPr>
        <w:t>Ⅰ</w:t>
      </w:r>
      <w:r>
        <w:rPr>
          <w:rFonts w:hint="eastAsia"/>
        </w:rPr>
        <w:t>≥85分时，可判定企业清洁生产水平为Ⅰ级。当企业相关指标不满足Ⅰ级限定性指标要求或综合指数得分Y</w:t>
      </w:r>
      <w:r>
        <w:rPr>
          <w:rFonts w:hint="eastAsia"/>
          <w:vertAlign w:val="subscript"/>
        </w:rPr>
        <w:t>Ⅰ</w:t>
      </w:r>
      <w:r>
        <w:rPr>
          <w:rFonts w:hint="eastAsia"/>
        </w:rPr>
        <w:t>＜85分时，则进入第二步计算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420" w:firstLineChars="200"/>
        <w:textAlignment w:val="auto"/>
        <w:rPr>
          <w:rFonts w:hint="eastAsia"/>
          <w:lang w:eastAsia="zh-CN"/>
        </w:rPr>
      </w:pPr>
      <w:r>
        <w:rPr>
          <w:rFonts w:hint="eastAsia"/>
        </w:rPr>
        <w:t>第二步：将贵金属饰品加工企业相关指标与Ⅱ级限定性指标进行对比，全部符合要求后，再将企业相关指标与Ⅱ级基准值进行逐项对比，计算综合评价指数得分Y</w:t>
      </w:r>
      <w:r>
        <w:rPr>
          <w:rFonts w:hint="eastAsia"/>
          <w:vertAlign w:val="subscript"/>
        </w:rPr>
        <w:t>Ⅱ</w:t>
      </w:r>
      <w:r>
        <w:rPr>
          <w:rFonts w:hint="eastAsia"/>
        </w:rPr>
        <w:t>，当综合指数得分Y</w:t>
      </w:r>
      <w:r>
        <w:rPr>
          <w:rFonts w:hint="eastAsia"/>
          <w:vertAlign w:val="subscript"/>
        </w:rPr>
        <w:t>Ⅱ</w:t>
      </w:r>
      <w:r>
        <w:rPr>
          <w:rFonts w:hint="eastAsia"/>
        </w:rPr>
        <w:t>≥85分时，可判定企业清洁生产水平为Ⅱ级。当企业相关指标不满足Ⅱ级限定性指标要求或综合指数得分Y</w:t>
      </w:r>
      <w:r>
        <w:rPr>
          <w:rFonts w:hint="eastAsia"/>
          <w:vertAlign w:val="subscript"/>
        </w:rPr>
        <w:t>Ⅱ</w:t>
      </w:r>
      <w:r>
        <w:rPr>
          <w:rFonts w:hint="eastAsia"/>
        </w:rPr>
        <w:t>＜85分时，则进入第三步计算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420" w:firstLineChars="200"/>
        <w:textAlignment w:val="auto"/>
        <w:rPr>
          <w:rFonts w:hint="eastAsia" w:eastAsia="宋体"/>
          <w:lang w:val="en-US" w:eastAsia="zh-CN"/>
        </w:rPr>
      </w:pPr>
      <w:r>
        <w:rPr>
          <w:rFonts w:hint="eastAsia"/>
        </w:rPr>
        <w:t>第三步：将现有贵金属饰品加工企业相关指标与Ⅲ级限定性指标基准值进行对比，全部符合要求后，再将企业相关指标与Ⅲ级基准值进行逐项对比，计算综合指数得分Y</w:t>
      </w:r>
      <w:r>
        <w:rPr>
          <w:rFonts w:hint="eastAsia"/>
          <w:vertAlign w:val="subscript"/>
        </w:rPr>
        <w:t>Ⅲ</w:t>
      </w:r>
      <w:r>
        <w:rPr>
          <w:rFonts w:hint="eastAsia"/>
        </w:rPr>
        <w:t>，当综合指数得分Y</w:t>
      </w:r>
      <w:r>
        <w:rPr>
          <w:rFonts w:hint="eastAsia"/>
          <w:vertAlign w:val="subscript"/>
        </w:rPr>
        <w:t>Ⅲ</w:t>
      </w:r>
      <w:r>
        <w:rPr>
          <w:rFonts w:hint="eastAsia"/>
        </w:rPr>
        <w:t>=100分时，可判定企业清洁生产水平为Ⅲ级。当企业相关指标不满足Ⅲ级限定性指标要求或综合指数得分Y</w:t>
      </w:r>
      <w:r>
        <w:rPr>
          <w:rFonts w:hint="eastAsia"/>
          <w:vertAlign w:val="subscript"/>
        </w:rPr>
        <w:t>Ⅲ</w:t>
      </w:r>
      <w:r>
        <w:rPr>
          <w:rFonts w:hint="eastAsia"/>
        </w:rPr>
        <w:t>＜100分时，表明企业未达到清洁生产要求</w:t>
      </w:r>
      <w:r>
        <w:rPr>
          <w:rFonts w:hint="eastAsia"/>
          <w:lang w:eastAsia="zh-CN"/>
        </w:rPr>
        <w:t>。</w:t>
      </w:r>
    </w:p>
    <w:p>
      <w:pPr>
        <w:pStyle w:val="49"/>
        <w:numPr>
          <w:ilvl w:val="0"/>
          <w:numId w:val="0"/>
        </w:numPr>
        <w:ind w:leftChars="0"/>
        <w:rPr>
          <w:rFonts w:hint="eastAsia"/>
        </w:rPr>
      </w:pPr>
      <w:bookmarkStart w:id="13" w:name="_Toc512129329"/>
      <w:r>
        <w:rPr>
          <w:rFonts w:hint="eastAsia"/>
          <w:lang w:val="en-US" w:eastAsia="zh-CN"/>
        </w:rPr>
        <w:t xml:space="preserve">6  </w:t>
      </w:r>
      <w:r>
        <w:rPr>
          <w:rFonts w:hint="eastAsia"/>
        </w:rPr>
        <w:t>指标核算与数据来源</w:t>
      </w:r>
      <w:bookmarkEnd w:id="13"/>
    </w:p>
    <w:p>
      <w:pPr>
        <w:pStyle w:val="66"/>
        <w:numPr>
          <w:ilvl w:val="1"/>
          <w:numId w:val="0"/>
        </w:numPr>
        <w:spacing w:before="156" w:after="156"/>
        <w:ind w:leftChars="0"/>
        <w:rPr>
          <w:rFonts w:hint="eastAsia" w:ascii="黑体" w:hAnsi="黑体" w:eastAsia="黑体" w:cs="黑体"/>
        </w:rPr>
      </w:pPr>
      <w:bookmarkStart w:id="14" w:name="_Toc535260074"/>
      <w:bookmarkStart w:id="15" w:name="_Toc29027"/>
      <w:r>
        <w:rPr>
          <w:rFonts w:hint="eastAsia" w:ascii="黑体" w:hAnsi="黑体" w:eastAsia="黑体" w:cs="黑体"/>
          <w:lang w:val="en-US" w:eastAsia="zh-CN"/>
        </w:rPr>
        <w:t>6.</w:t>
      </w:r>
      <w:r>
        <w:rPr>
          <w:rFonts w:hint="eastAsia" w:hAnsi="黑体" w:cs="黑体"/>
          <w:lang w:val="en-US" w:eastAsia="zh-CN"/>
        </w:rPr>
        <w:t>1　</w:t>
      </w:r>
      <w:bookmarkStart w:id="16" w:name="_Toc512129330"/>
      <w:r>
        <w:rPr>
          <w:rFonts w:hint="eastAsia" w:ascii="黑体" w:eastAsia="黑体"/>
          <w:kern w:val="0"/>
          <w:szCs w:val="20"/>
        </w:rPr>
        <w:t>指标核算</w:t>
      </w:r>
      <w:bookmarkEnd w:id="16"/>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ascii="黑体" w:hAnsi="黑体" w:eastAsia="黑体" w:cs="黑体"/>
          <w:kern w:val="0"/>
          <w:szCs w:val="20"/>
        </w:rPr>
      </w:pPr>
      <w:r>
        <w:rPr>
          <w:rFonts w:hint="eastAsia" w:ascii="黑体" w:hAnsi="黑体" w:eastAsia="黑体" w:cs="黑体"/>
          <w:lang w:val="en-US" w:eastAsia="zh-CN"/>
        </w:rPr>
        <w:t>6.1.1</w:t>
      </w:r>
      <w:r>
        <w:rPr>
          <w:rFonts w:hint="eastAsia" w:hAnsi="黑体" w:cs="黑体"/>
          <w:lang w:val="en-US" w:eastAsia="zh-CN"/>
        </w:rPr>
        <w:t xml:space="preserve">  </w:t>
      </w:r>
      <w:r>
        <w:rPr>
          <w:rFonts w:hint="eastAsia" w:ascii="黑体" w:hAnsi="黑体" w:eastAsia="黑体" w:cs="黑体"/>
          <w:kern w:val="0"/>
          <w:szCs w:val="20"/>
        </w:rPr>
        <w:t>机械化程度</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rPr>
        <w:t>反映企业机械化加工水平，指机械加工量占企业生产总量的百分比。按公式（6-1）计算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int="eastAsia"/>
          <w:lang w:val="en-US" w:eastAsia="zh-CN"/>
        </w:rPr>
        <w:t xml:space="preserve">                           </w:t>
      </w:r>
      <w:r>
        <w:fldChar w:fldCharType="begin"/>
      </w:r>
      <w:r>
        <w:instrText xml:space="preserve"> QUOTE </w:instrText>
      </w:r>
      <w:r>
        <w:rPr>
          <w:rFonts w:hint="eastAsia"/>
          <w:position w:val="-24"/>
        </w:rPr>
        <w:pict>
          <v:shape id="_x0000_i1039"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w:r>
        <w:rPr>
          <w:rFonts w:hint="eastAsia"/>
          <w:position w:val="-28"/>
        </w:rPr>
        <w:object>
          <v:shape id="_x0000_i1040" o:spt="75" type="#_x0000_t75" style="height:34pt;width:85.05pt;" o:ole="t" filled="f" o:preferrelative="t" stroked="f" coordsize="21600,21600">
            <v:path/>
            <v:fill on="f" focussize="0,0"/>
            <v:stroke on="f"/>
            <v:imagedata r:id="rId20" o:title=""/>
            <o:lock v:ext="edit" aspectratio="f"/>
            <w10:wrap type="none"/>
            <w10:anchorlock/>
          </v:shape>
          <o:OLEObject Type="Embed" ProgID="Equation.KSEE3" ShapeID="_x0000_i1040" DrawAspect="Content" ObjectID="_1468075725" r:id="rId19">
            <o:LockedField>false</o:LockedField>
          </o:OLEObject>
        </w:object>
      </w:r>
      <w:r>
        <w:rPr>
          <w:rFonts w:hint="eastAsia"/>
        </w:rPr>
        <w:t>………………………………………………………（</w:t>
      </w:r>
      <w:r>
        <w:rPr>
          <w:rFonts w:hint="eastAsia"/>
          <w:lang w:val="en-US" w:eastAsia="zh-CN"/>
        </w:rPr>
        <w:t>6-</w:t>
      </w:r>
      <w:r>
        <w:rPr>
          <w:rFonts w:hint="eastAsia"/>
        </w:rPr>
        <w:t>1）</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 xml:space="preserve">T </w:t>
      </w:r>
      <w:r>
        <w:rPr>
          <w:rFonts w:hint="eastAsia" w:hAnsi="宋体" w:cs="宋体"/>
          <w:sz w:val="21"/>
          <w:szCs w:val="21"/>
          <w:lang w:eastAsia="zh-CN"/>
        </w:rPr>
        <w:t>—</w:t>
      </w:r>
      <w:r>
        <w:rPr>
          <w:rFonts w:hint="eastAsia" w:ascii="宋体" w:hAnsi="宋体" w:eastAsia="宋体" w:cs="宋体"/>
          <w:sz w:val="21"/>
          <w:szCs w:val="21"/>
        </w:rPr>
        <w:t>工厂机械化程度，%；</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Q</w:t>
      </w:r>
      <w:r>
        <w:rPr>
          <w:rFonts w:hint="eastAsia" w:ascii="宋体" w:hAnsi="宋体" w:eastAsia="宋体" w:cs="宋体"/>
          <w:sz w:val="21"/>
          <w:szCs w:val="21"/>
          <w:vertAlign w:val="subscript"/>
        </w:rPr>
        <w:t>t</w:t>
      </w:r>
      <w:r>
        <w:rPr>
          <w:rFonts w:hint="eastAsia" w:hAnsi="宋体" w:cs="宋体"/>
          <w:sz w:val="21"/>
          <w:szCs w:val="21"/>
          <w:lang w:eastAsia="zh-CN"/>
        </w:rPr>
        <w:t>—</w:t>
      </w:r>
      <w:r>
        <w:rPr>
          <w:rFonts w:hint="eastAsia" w:ascii="宋体" w:hAnsi="宋体" w:eastAsia="宋体" w:cs="宋体"/>
          <w:sz w:val="21"/>
          <w:szCs w:val="21"/>
        </w:rPr>
        <w:t>一定计量时间内机械加工产品总量，g；</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lang w:eastAsia="zh-CN"/>
        </w:rPr>
      </w:pPr>
      <w:r>
        <w:rPr>
          <w:rFonts w:hint="eastAsia"/>
          <w:szCs w:val="21"/>
          <w:lang w:eastAsia="zh-CN"/>
        </w:rPr>
        <w:t>Q—一定计量时间内的企业完成产品总量，g。</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ascii="黑体" w:hAnsi="黑体" w:eastAsia="黑体" w:cs="黑体"/>
          <w:kern w:val="0"/>
          <w:szCs w:val="20"/>
        </w:rPr>
      </w:pPr>
      <w:r>
        <w:rPr>
          <w:rFonts w:hint="eastAsia" w:ascii="黑体" w:hAnsi="黑体" w:eastAsia="黑体" w:cs="黑体"/>
          <w:lang w:val="en-US" w:eastAsia="zh-CN"/>
        </w:rPr>
        <w:t>6.1.2</w:t>
      </w:r>
      <w:r>
        <w:rPr>
          <w:rFonts w:hint="eastAsia" w:hAnsi="黑体" w:cs="黑体"/>
          <w:lang w:val="en-US" w:eastAsia="zh-CN"/>
        </w:rPr>
        <w:t xml:space="preserve">  </w:t>
      </w:r>
      <w:r>
        <w:rPr>
          <w:rFonts w:hint="eastAsia" w:ascii="黑体" w:eastAsia="黑体"/>
        </w:rPr>
        <w:t>智能制造程度</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rPr>
        <w:t>反映企业智能制造推进程度，指智能机器加工总量占企业生产总量的百分比。按公式（6-2）计算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int="eastAsia"/>
          <w:lang w:val="en-US" w:eastAsia="zh-CN"/>
        </w:rPr>
        <w:t xml:space="preserve">                           </w:t>
      </w:r>
      <w:r>
        <w:fldChar w:fldCharType="begin"/>
      </w:r>
      <w:r>
        <w:instrText xml:space="preserve"> QUOTE </w:instrText>
      </w:r>
      <w:r>
        <w:rPr>
          <w:rFonts w:hint="eastAsia"/>
          <w:position w:val="-24"/>
        </w:rPr>
        <w:pict>
          <v:shape id="_x0000_i1041"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w:r>
        <w:rPr>
          <w:rFonts w:hint="eastAsia"/>
          <w:position w:val="-28"/>
        </w:rPr>
        <w:object>
          <v:shape id="_x0000_i1042" o:spt="75" type="#_x0000_t75" style="height:34.15pt;width:85.05pt;" o:ole="t" filled="f" o:preferrelative="t" stroked="f" coordsize="21600,21600">
            <v:path/>
            <v:fill on="f" focussize="0,0"/>
            <v:stroke on="f"/>
            <v:imagedata r:id="rId22" o:title=""/>
            <o:lock v:ext="edit" aspectratio="f"/>
            <w10:wrap type="none"/>
            <w10:anchorlock/>
          </v:shape>
          <o:OLEObject Type="Embed" ProgID="Equation.KSEE3" ShapeID="_x0000_i1042" DrawAspect="Content" ObjectID="_1468075726" r:id="rId21">
            <o:LockedField>false</o:LockedField>
          </o:OLEObject>
        </w:object>
      </w:r>
      <w:r>
        <w:rPr>
          <w:rFonts w:hint="eastAsia"/>
        </w:rPr>
        <w:t>………………………………………………………（</w:t>
      </w:r>
      <w:r>
        <w:rPr>
          <w:rFonts w:hint="eastAsia"/>
          <w:lang w:val="en-US" w:eastAsia="zh-CN"/>
        </w:rPr>
        <w:t>6-2</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ascii="宋体" w:hAnsi="宋体" w:eastAsia="宋体" w:cs="宋体"/>
          <w:sz w:val="21"/>
          <w:szCs w:val="21"/>
        </w:rPr>
        <w:t>U</w:t>
      </w:r>
      <w:r>
        <w:rPr>
          <w:rFonts w:hint="eastAsia" w:hAnsi="宋体" w:cs="宋体"/>
          <w:sz w:val="21"/>
          <w:szCs w:val="21"/>
          <w:lang w:eastAsia="zh-CN"/>
        </w:rPr>
        <w:t>——</w:t>
      </w:r>
      <w:r>
        <w:rPr>
          <w:rFonts w:hint="eastAsia" w:ascii="宋体" w:hAnsi="宋体" w:eastAsia="宋体" w:cs="宋体"/>
          <w:sz w:val="21"/>
          <w:szCs w:val="21"/>
        </w:rPr>
        <w:t>智能制造程度，%；</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rPr>
        <w:t>Q</w:t>
      </w:r>
      <w:r>
        <w:rPr>
          <w:rFonts w:hint="eastAsia"/>
          <w:vertAlign w:val="subscript"/>
        </w:rPr>
        <w:t>u</w:t>
      </w:r>
      <w:r>
        <w:rPr>
          <w:rFonts w:hint="eastAsia"/>
          <w:szCs w:val="21"/>
          <w:lang w:eastAsia="zh-CN"/>
        </w:rPr>
        <w:t>—</w:t>
      </w:r>
      <w:r>
        <w:rPr>
          <w:rFonts w:hint="eastAsia"/>
          <w:szCs w:val="21"/>
          <w:lang w:val="en-US" w:eastAsia="zh-CN"/>
        </w:rPr>
        <w:t>-</w:t>
      </w:r>
      <w:r>
        <w:rPr>
          <w:rFonts w:hint="eastAsia" w:hAnsi="宋体" w:cs="宋体"/>
        </w:rPr>
        <w:t>定计量时间内</w:t>
      </w:r>
      <w:r>
        <w:rPr>
          <w:rFonts w:hint="eastAsia"/>
        </w:rPr>
        <w:t>智能机器加工总量</w:t>
      </w:r>
      <w:r>
        <w:rPr>
          <w:rFonts w:hint="eastAsia" w:ascii="宋体" w:hAnsi="宋体" w:eastAsia="宋体" w:cs="宋体"/>
          <w:sz w:val="21"/>
          <w:szCs w:val="21"/>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lang w:eastAsia="zh-CN"/>
        </w:rPr>
      </w:pPr>
      <w:r>
        <w:rPr>
          <w:rFonts w:hint="eastAsia"/>
          <w:szCs w:val="21"/>
          <w:lang w:eastAsia="zh-CN"/>
        </w:rPr>
        <w:t>Q——一定计量时间内的企业完成产品总量，g。</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ascii="黑体" w:hAnsi="黑体" w:eastAsia="黑体" w:cs="黑体"/>
          <w:kern w:val="0"/>
          <w:szCs w:val="20"/>
        </w:rPr>
      </w:pPr>
      <w:r>
        <w:rPr>
          <w:rFonts w:hint="eastAsia" w:ascii="黑体" w:hAnsi="黑体" w:eastAsia="黑体" w:cs="黑体"/>
          <w:lang w:val="en-US" w:eastAsia="zh-CN"/>
        </w:rPr>
        <w:t>6.1.3</w:t>
      </w:r>
      <w:r>
        <w:rPr>
          <w:rFonts w:hint="eastAsia" w:hAnsi="黑体" w:cs="黑体"/>
          <w:lang w:val="en-US" w:eastAsia="zh-CN"/>
        </w:rPr>
        <w:t xml:space="preserve">  </w:t>
      </w:r>
      <w:r>
        <w:rPr>
          <w:rFonts w:hint="eastAsia" w:ascii="黑体" w:eastAsia="黑体"/>
        </w:rPr>
        <w:t>贵金属利用率</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rPr>
        <w:t>反映投入生产的贵金属原料的利用程度，指贵金属原料利用量与贵金属投料总量的比率，贵金属原料利用量是指一定生产时间内成品贵金属质量与贵金属回收料回收处理后的回收量之和。按公式（6-3）计算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int="eastAsia"/>
          <w:lang w:val="en-US" w:eastAsia="zh-CN"/>
        </w:rPr>
        <w:t xml:space="preserve">                           </w:t>
      </w:r>
      <w:r>
        <w:fldChar w:fldCharType="begin"/>
      </w:r>
      <w:r>
        <w:instrText xml:space="preserve"> QUOTE </w:instrText>
      </w:r>
      <w:r>
        <w:rPr>
          <w:rFonts w:hint="eastAsia"/>
          <w:position w:val="-24"/>
        </w:rPr>
        <w:pict>
          <v:shape id="_x0000_i1043"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w:r>
        <w:rPr>
          <w:rFonts w:hint="eastAsia"/>
          <w:position w:val="-24"/>
        </w:rPr>
        <w:object>
          <v:shape id="_x0000_i1044" o:spt="75" type="#_x0000_t75" style="height:34pt;width:96.45pt;" o:ole="t" filled="f" o:preferrelative="t" stroked="f" coordsize="21600,21600">
            <v:path/>
            <v:fill on="f" focussize="0,0"/>
            <v:stroke on="f"/>
            <v:imagedata r:id="rId24" o:title=""/>
            <o:lock v:ext="edit" aspectratio="f"/>
            <w10:wrap type="none"/>
            <w10:anchorlock/>
          </v:shape>
          <o:OLEObject Type="Embed" ProgID="Equation.KSEE3" ShapeID="_x0000_i1044" DrawAspect="Content" ObjectID="_1468075727" r:id="rId23">
            <o:LockedField>false</o:LockedField>
          </o:OLEObject>
        </w:object>
      </w:r>
      <w:r>
        <w:rPr>
          <w:rFonts w:hint="eastAsia"/>
        </w:rPr>
        <w:t>………………………………………………………（</w:t>
      </w:r>
      <w:r>
        <w:rPr>
          <w:rFonts w:hint="eastAsia"/>
          <w:lang w:val="en-US" w:eastAsia="zh-CN"/>
        </w:rPr>
        <w:t>6-3</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hAnsi="宋体"/>
        </w:rPr>
        <w:t>ε</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int="eastAsia" w:hAnsi="宋体"/>
        </w:rPr>
        <w:t>贵金属利用率，%</w:t>
      </w:r>
      <w:r>
        <w:rPr>
          <w:rFonts w:hint="eastAsia" w:ascii="宋体" w:hAnsi="宋体" w:eastAsia="宋体" w:cs="宋体"/>
          <w:sz w:val="21"/>
          <w:szCs w:val="21"/>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rPr>
        <w:t>G</w:t>
      </w:r>
      <w:r>
        <w:rPr>
          <w:rFonts w:hint="eastAsia" w:hAnsi="宋体" w:cs="宋体"/>
          <w:vertAlign w:val="subscript"/>
        </w:rPr>
        <w:t>i</w:t>
      </w:r>
      <w:r>
        <w:rPr>
          <w:rFonts w:hint="eastAsia"/>
          <w:vertAlign w:val="subscript"/>
        </w:rPr>
        <w:t xml:space="preserve"> </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Ansi="宋体"/>
          <w:vertAlign w:val="superscript"/>
        </w:rPr>
        <w:softHyphen/>
      </w:r>
      <w:r>
        <w:rPr>
          <w:rFonts w:hint="eastAsia" w:hAnsi="宋体"/>
        </w:rPr>
        <w:t>一定计量时间内贵金属回收料回收处理后的回收量，g</w:t>
      </w:r>
      <w:r>
        <w:rPr>
          <w:rFonts w:hint="eastAsia" w:ascii="宋体" w:hAnsi="宋体" w:eastAsia="宋体" w:cs="宋体"/>
          <w:sz w:val="21"/>
          <w:szCs w:val="21"/>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Cs w:val="21"/>
          <w:lang w:eastAsia="zh-CN"/>
        </w:rPr>
      </w:pPr>
      <w:r>
        <w:rPr>
          <w:rFonts w:hint="eastAsia"/>
          <w:szCs w:val="21"/>
          <w:lang w:eastAsia="zh-CN"/>
        </w:rPr>
        <w:t>Q</w:t>
      </w:r>
      <w:r>
        <w:rPr>
          <w:rFonts w:hint="eastAsia"/>
          <w:szCs w:val="21"/>
          <w:lang w:val="en-US" w:eastAsia="zh-CN"/>
        </w:rPr>
        <w:t xml:space="preserve"> </w:t>
      </w:r>
      <w:r>
        <w:rPr>
          <w:rFonts w:hint="eastAsia"/>
          <w:szCs w:val="21"/>
          <w:lang w:eastAsia="zh-CN"/>
        </w:rPr>
        <w:t>——一定计量时间内的企业完成产品总量，g；</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Cs w:val="21"/>
          <w:lang w:val="en-US" w:eastAsia="zh-CN"/>
        </w:rPr>
      </w:pPr>
      <w:r>
        <w:rPr>
          <w:rFonts w:hint="eastAsia"/>
        </w:rPr>
        <w:t xml:space="preserve">G </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int="eastAsia" w:hAnsi="宋体"/>
        </w:rPr>
        <w:t>一定计量时间内企业投入的贵金属原料总量，g</w:t>
      </w:r>
      <w:r>
        <w:rPr>
          <w:rFonts w:hint="eastAsia" w:hAnsi="宋体"/>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ascii="黑体" w:hAnsi="黑体" w:eastAsia="黑体" w:cs="黑体"/>
          <w:kern w:val="0"/>
          <w:szCs w:val="20"/>
        </w:rPr>
      </w:pPr>
      <w:r>
        <w:rPr>
          <w:rFonts w:hint="eastAsia" w:ascii="黑体" w:hAnsi="黑体" w:eastAsia="黑体" w:cs="黑体"/>
          <w:lang w:val="en-US" w:eastAsia="zh-CN"/>
        </w:rPr>
        <w:t>6.1.4</w:t>
      </w:r>
      <w:r>
        <w:rPr>
          <w:rFonts w:hint="eastAsia" w:hAnsi="黑体" w:cs="黑体"/>
          <w:lang w:val="en-US" w:eastAsia="zh-CN"/>
        </w:rPr>
        <w:t xml:space="preserve">  </w:t>
      </w:r>
      <w:r>
        <w:rPr>
          <w:rFonts w:hint="eastAsia" w:ascii="黑体" w:hAnsi="黑体" w:eastAsia="黑体" w:cs="黑体"/>
          <w:lang w:val="en-US" w:eastAsia="zh-CN"/>
        </w:rPr>
        <w:t>生产用</w:t>
      </w:r>
      <w:r>
        <w:rPr>
          <w:rFonts w:hint="eastAsia" w:ascii="黑体" w:hAnsi="黑体" w:eastAsia="黑体" w:cs="黑体"/>
        </w:rPr>
        <w:t>水重复利用率</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420" w:firstLineChars="200"/>
        <w:textAlignment w:val="auto"/>
        <w:rPr>
          <w:rFonts w:hint="eastAsia" w:hAnsi="宋体" w:eastAsia="宋体" w:cs="宋体"/>
          <w:lang w:val="en-US" w:eastAsia="zh-CN"/>
        </w:rPr>
      </w:pPr>
      <w:r>
        <w:rPr>
          <w:rFonts w:hint="eastAsia" w:hAnsi="宋体" w:cs="宋体"/>
        </w:rPr>
        <w:t>反映水资源利用率水平，指生产过程中使用的重复利用水量与生产取水量（水表用水量）的百分比。重复利用水量是指一定生产时间内生产取水量与废水产生量之差。按公式(6-4)计算</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int="eastAsia"/>
          <w:lang w:val="en-US" w:eastAsia="zh-CN"/>
        </w:rPr>
        <w:t xml:space="preserve">                           </w:t>
      </w:r>
      <w:r>
        <w:fldChar w:fldCharType="begin"/>
      </w:r>
      <w:r>
        <w:instrText xml:space="preserve"> QUOTE </w:instrText>
      </w:r>
      <w:r>
        <w:rPr>
          <w:rFonts w:hint="eastAsia"/>
          <w:position w:val="-24"/>
        </w:rPr>
        <w:pict>
          <v:shape id="_x0000_i1045"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instrText xml:space="preserve"> </w:instrText>
      </w:r>
      <w:r>
        <w:fldChar w:fldCharType="separate"/>
      </w:r>
      <w:r>
        <w:fldChar w:fldCharType="end"/>
      </w:r>
      <w:r>
        <w:rPr>
          <w:position w:val="-30"/>
        </w:rPr>
        <w:object>
          <v:shape id="_x0000_i1046" o:spt="75" type="#_x0000_t75" style="height:34.75pt;width:99.2pt;" o:ole="t" filled="f" o:preferrelative="t" stroked="f" coordsize="21600,21600">
            <v:path/>
            <v:fill on="f" focussize="0,0"/>
            <v:stroke on="f"/>
            <v:imagedata r:id="rId26" o:title=""/>
            <o:lock v:ext="edit" aspectratio="t"/>
            <w10:wrap type="none"/>
            <w10:anchorlock/>
          </v:shape>
          <o:OLEObject Type="Embed" ProgID="Equation.3" ShapeID="_x0000_i1046" DrawAspect="Content" ObjectID="_1468075728" r:id="rId25">
            <o:LockedField>false</o:LockedField>
          </o:OLEObject>
        </w:object>
      </w:r>
      <w:r>
        <w:rPr>
          <w:rFonts w:hint="eastAsia"/>
        </w:rPr>
        <w:t>………………………………………………………（</w:t>
      </w:r>
      <w:r>
        <w:rPr>
          <w:rFonts w:hint="eastAsia"/>
          <w:lang w:val="en-US" w:eastAsia="zh-CN"/>
        </w:rPr>
        <w:t>6-4</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rPr>
        <w:t>R</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int="eastAsia" w:hAnsi="宋体"/>
        </w:rPr>
        <w:t>水的重复利用率，%</w:t>
      </w:r>
      <w:r>
        <w:rPr>
          <w:rFonts w:hint="eastAsia" w:ascii="宋体" w:hAnsi="宋体" w:eastAsia="宋体" w:cs="宋体"/>
          <w:sz w:val="21"/>
          <w:szCs w:val="21"/>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ascii="宋体" w:hAnsi="宋体" w:eastAsia="宋体" w:cs="宋体"/>
          <w:sz w:val="21"/>
          <w:szCs w:val="21"/>
        </w:rPr>
      </w:pPr>
      <w:r>
        <w:rPr>
          <w:rFonts w:hint="eastAsia"/>
        </w:rPr>
        <w:t>V</w:t>
      </w:r>
      <w:r>
        <w:rPr>
          <w:rFonts w:hint="eastAsia"/>
          <w:vertAlign w:val="subscript"/>
        </w:rPr>
        <w:t>w</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int="eastAsia" w:hAnsi="宋体"/>
        </w:rPr>
        <w:t>一定计量时间内废水产生量，m</w:t>
      </w:r>
      <w:r>
        <w:rPr>
          <w:rFonts w:hint="eastAsia" w:hAnsi="宋体"/>
          <w:vertAlign w:val="superscript"/>
        </w:rPr>
        <w:t>3</w:t>
      </w:r>
      <w:r>
        <w:rPr>
          <w:rFonts w:hint="eastAsia" w:ascii="宋体" w:hAnsi="宋体" w:eastAsia="宋体" w:cs="宋体"/>
          <w:sz w:val="21"/>
          <w:szCs w:val="21"/>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default" w:ascii="黑体" w:hAnsi="黑体" w:eastAsia="黑体" w:cs="黑体"/>
          <w:kern w:val="0"/>
          <w:szCs w:val="20"/>
          <w:lang w:val="en-US" w:eastAsia="zh-CN"/>
        </w:rPr>
      </w:pPr>
      <w:r>
        <w:rPr>
          <w:rFonts w:hint="eastAsia"/>
        </w:rPr>
        <w:t>V</w:t>
      </w:r>
      <w:r>
        <w:rPr>
          <w:rFonts w:hint="eastAsia"/>
          <w:vertAlign w:val="subscript"/>
        </w:rPr>
        <w:t>i</w:t>
      </w:r>
      <w:r>
        <w:rPr>
          <w:rFonts w:hint="eastAsia" w:hAnsi="宋体"/>
          <w:vertAlign w:val="superscript"/>
        </w:rPr>
        <w:t>_____</w:t>
      </w:r>
      <w:r>
        <w:rPr>
          <w:rFonts w:hint="eastAsia" w:hAnsi="宋体"/>
          <w:vertAlign w:val="superscript"/>
        </w:rPr>
        <w:softHyphen/>
      </w:r>
      <w:r>
        <w:rPr>
          <w:rFonts w:hint="eastAsia" w:hAnsi="宋体"/>
          <w:vertAlign w:val="superscript"/>
        </w:rPr>
        <w:t>__</w:t>
      </w:r>
      <w:r>
        <w:rPr>
          <w:rFonts w:hint="eastAsia" w:hAnsi="宋体"/>
        </w:rPr>
        <w:t>一定计量时间内生产取水量，m</w:t>
      </w:r>
      <w:r>
        <w:rPr>
          <w:rFonts w:hint="eastAsia" w:hAnsi="宋体"/>
          <w:vertAlign w:val="superscript"/>
        </w:rPr>
        <w:t>3</w:t>
      </w:r>
      <w:r>
        <w:rPr>
          <w:rFonts w:hint="eastAsia"/>
          <w:szCs w:val="21"/>
          <w:lang w:eastAsia="zh-CN"/>
        </w:rPr>
        <w:t>。</w:t>
      </w:r>
    </w:p>
    <w:p>
      <w:pPr>
        <w:pStyle w:val="66"/>
        <w:numPr>
          <w:ilvl w:val="1"/>
          <w:numId w:val="0"/>
        </w:numPr>
        <w:spacing w:before="156" w:after="156"/>
        <w:ind w:leftChars="0"/>
        <w:rPr>
          <w:rFonts w:hint="eastAsia" w:ascii="黑体" w:hAnsi="黑体" w:eastAsia="黑体" w:cs="黑体"/>
        </w:rPr>
      </w:pPr>
      <w:bookmarkStart w:id="17" w:name="_Toc3903"/>
      <w:r>
        <w:rPr>
          <w:rFonts w:hint="eastAsia" w:ascii="黑体" w:hAnsi="黑体" w:eastAsia="黑体" w:cs="黑体"/>
          <w:lang w:val="en-US" w:eastAsia="zh-CN"/>
        </w:rPr>
        <w:t>6.</w:t>
      </w:r>
      <w:r>
        <w:rPr>
          <w:rFonts w:hint="eastAsia" w:hAnsi="黑体" w:cs="黑体"/>
          <w:lang w:val="en-US" w:eastAsia="zh-CN"/>
        </w:rPr>
        <w:t>2　</w:t>
      </w:r>
      <w:bookmarkEnd w:id="17"/>
      <w:bookmarkStart w:id="18" w:name="_Toc512129331"/>
      <w:r>
        <w:rPr>
          <w:rFonts w:hint="eastAsia" w:ascii="黑体" w:eastAsia="黑体"/>
        </w:rPr>
        <w:t>数据来源</w:t>
      </w:r>
      <w:bookmarkEnd w:id="18"/>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0" w:firstLineChars="0"/>
        <w:textAlignment w:val="auto"/>
      </w:pPr>
      <w:r>
        <w:rPr>
          <w:rFonts w:hint="eastAsia" w:ascii="黑体" w:hAnsi="黑体" w:eastAsia="黑体" w:cs="黑体"/>
        </w:rPr>
        <w:t>6.</w:t>
      </w:r>
      <w:r>
        <w:rPr>
          <w:rFonts w:hint="eastAsia" w:ascii="黑体" w:hAnsi="黑体" w:eastAsia="黑体" w:cs="黑体"/>
          <w:lang w:val="en-US" w:eastAsia="zh-CN"/>
        </w:rPr>
        <w:t>2</w:t>
      </w:r>
      <w:r>
        <w:rPr>
          <w:rFonts w:hint="eastAsia" w:ascii="黑体" w:hAnsi="黑体" w:eastAsia="黑体" w:cs="黑体"/>
        </w:rPr>
        <w:t>.1</w:t>
      </w:r>
      <w:r>
        <w:rPr>
          <w:rFonts w:hint="eastAsia" w:ascii="黑体" w:hAnsi="黑体" w:eastAsia="黑体" w:cs="黑体"/>
          <w:lang w:eastAsia="zh-CN"/>
        </w:rPr>
        <w:t>　</w:t>
      </w:r>
      <w:r>
        <w:rPr>
          <w:rFonts w:hint="eastAsia" w:ascii="黑体" w:eastAsia="黑体"/>
        </w:rPr>
        <w:t>统计</w:t>
      </w:r>
    </w:p>
    <w:p>
      <w:pPr>
        <w:pStyle w:val="24"/>
        <w:spacing w:beforeLines="50" w:afterLines="50"/>
        <w:ind w:left="0" w:leftChars="0" w:firstLine="420" w:firstLineChars="200"/>
        <w:rPr>
          <w:rFonts w:hint="eastAsia"/>
          <w:lang w:eastAsia="zh-CN"/>
        </w:rPr>
      </w:pPr>
      <w:r>
        <w:rPr>
          <w:rFonts w:hint="eastAsia"/>
        </w:rPr>
        <w:t>企业的产品产量、原材料消耗量、取水量、废水产生量等，以年报或考核周期报表为准</w:t>
      </w:r>
      <w:r>
        <w:rPr>
          <w:rFonts w:hint="eastAsia"/>
          <w:lang w:eastAsia="zh-CN"/>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firstLine="0" w:firstLineChars="0"/>
        <w:textAlignment w:val="auto"/>
      </w:pPr>
      <w:r>
        <w:rPr>
          <w:rFonts w:hint="eastAsia" w:ascii="黑体" w:hAnsi="黑体" w:eastAsia="黑体" w:cs="黑体"/>
        </w:rPr>
        <w:t>6.</w:t>
      </w:r>
      <w:r>
        <w:rPr>
          <w:rFonts w:hint="eastAsia" w:ascii="黑体" w:hAnsi="黑体" w:eastAsia="黑体" w:cs="黑体"/>
          <w:lang w:val="en-US" w:eastAsia="zh-CN"/>
        </w:rPr>
        <w:t>2</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lang w:eastAsia="zh-CN"/>
        </w:rPr>
        <w:t>　</w:t>
      </w:r>
      <w:r>
        <w:rPr>
          <w:rFonts w:hint="eastAsia" w:ascii="黑体" w:eastAsia="黑体"/>
        </w:rPr>
        <w:t>实测</w:t>
      </w:r>
    </w:p>
    <w:p>
      <w:pPr>
        <w:pStyle w:val="24"/>
        <w:spacing w:beforeLines="50" w:afterLines="50"/>
        <w:ind w:left="0" w:leftChars="0" w:firstLine="420" w:firstLineChars="200"/>
        <w:rPr>
          <w:rFonts w:hint="eastAsia"/>
          <w:lang w:eastAsia="zh-CN"/>
        </w:rPr>
      </w:pPr>
      <w:r>
        <w:rPr>
          <w:rFonts w:hint="eastAsia"/>
        </w:rPr>
        <w:t>如果统计数据严重短缺，资源综合利用特征指标也可以在考核周期内用实测方法取得，考核周期一般不少于一个月</w:t>
      </w:r>
      <w:r>
        <w:rPr>
          <w:rFonts w:hint="eastAsia"/>
          <w:lang w:eastAsia="zh-CN"/>
        </w:rPr>
        <w:t>。</w:t>
      </w:r>
    </w:p>
    <w:bookmarkEnd w:id="14"/>
    <w:bookmarkEnd w:id="15"/>
    <w:p>
      <w:pPr>
        <w:pStyle w:val="49"/>
        <w:numPr>
          <w:ilvl w:val="0"/>
          <w:numId w:val="0"/>
        </w:numPr>
        <w:ind w:leftChars="0"/>
        <w:rPr>
          <w:rFonts w:hint="eastAsia"/>
        </w:rPr>
      </w:pPr>
      <w:r>
        <w:rPr>
          <w:rFonts w:hint="eastAsia"/>
          <w:lang w:val="en-US" w:eastAsia="zh-CN"/>
        </w:rPr>
        <w:t xml:space="preserve">7  </w:t>
      </w:r>
      <w:r>
        <w:rPr>
          <w:rFonts w:hint="eastAsia"/>
        </w:rPr>
        <w:t>企业清洁生产水平的评定</w:t>
      </w:r>
    </w:p>
    <w:p>
      <w:pPr>
        <w:pStyle w:val="24"/>
        <w:spacing w:before="156" w:beforeLines="50" w:after="156" w:afterLines="50"/>
        <w:rPr>
          <w:rFonts w:hint="eastAsia"/>
        </w:rPr>
      </w:pPr>
      <w:r>
        <w:rPr>
          <w:rFonts w:hint="eastAsia"/>
        </w:rPr>
        <w:t>首饰加工业清洁生产水平的等级对应的综合评价指数应符合表3的规定。</w:t>
      </w:r>
    </w:p>
    <w:p>
      <w:pPr>
        <w:pStyle w:val="24"/>
        <w:spacing w:before="156" w:beforeLines="50" w:after="156" w:afterLines="50"/>
        <w:jc w:val="center"/>
        <w:rPr>
          <w:rFonts w:hint="eastAsia" w:ascii="黑体" w:hAnsi="黑体" w:eastAsia="黑体"/>
        </w:rPr>
      </w:pPr>
      <w:r>
        <w:rPr>
          <w:rFonts w:hint="eastAsia" w:ascii="黑体" w:hAnsi="黑体" w:eastAsia="黑体"/>
        </w:rPr>
        <w:t xml:space="preserve">表3 </w:t>
      </w:r>
      <w:r>
        <w:rPr>
          <w:rFonts w:hint="eastAsia" w:ascii="黑体" w:hAnsi="黑体" w:eastAsia="黑体"/>
          <w:lang w:val="en-US" w:eastAsia="zh-CN"/>
        </w:rPr>
        <w:t xml:space="preserve"> </w:t>
      </w:r>
      <w:r>
        <w:rPr>
          <w:rFonts w:hint="eastAsia" w:ascii="黑体" w:hAnsi="黑体" w:eastAsia="黑体"/>
        </w:rPr>
        <w:t>首饰加工业清洁生产等级与企业综合评价指数值</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3678"/>
        <w:gridCol w:w="577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678" w:type="dxa"/>
            <w:tcBorders>
              <w:tl2br w:val="nil"/>
              <w:tr2bl w:val="nil"/>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清洁生产等级</w:t>
            </w:r>
          </w:p>
        </w:tc>
        <w:tc>
          <w:tcPr>
            <w:tcW w:w="5775" w:type="dxa"/>
            <w:tcBorders>
              <w:tl2br w:val="nil"/>
              <w:tr2bl w:val="nil"/>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清洁生产综合评价指数值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678" w:type="dxa"/>
            <w:tcBorders>
              <w:tl2br w:val="nil"/>
              <w:tr2bl w:val="nil"/>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sz w:val="18"/>
                <w:szCs w:val="18"/>
              </w:rPr>
            </w:pPr>
            <w:r>
              <w:rPr>
                <w:rFonts w:hint="eastAsia"/>
                <w:sz w:val="18"/>
                <w:szCs w:val="18"/>
              </w:rPr>
              <w:t>Ⅰ级（国际清洁生产领先水平）</w:t>
            </w:r>
          </w:p>
        </w:tc>
        <w:tc>
          <w:tcPr>
            <w:tcW w:w="5775" w:type="dxa"/>
            <w:tcBorders>
              <w:tl2br w:val="nil"/>
              <w:tr2bl w:val="nil"/>
            </w:tcBorders>
            <w:noWrap w:val="0"/>
            <w:vAlign w:val="center"/>
          </w:tcPr>
          <w:p>
            <w:pPr>
              <w:pStyle w:val="24"/>
              <w:keepNext w:val="0"/>
              <w:keepLines w:val="0"/>
              <w:widowControl/>
              <w:suppressLineNumbers w:val="0"/>
              <w:spacing w:before="50" w:beforeAutospacing="0" w:after="159" w:afterLines="50" w:afterAutospacing="0"/>
              <w:ind w:left="0" w:right="0" w:firstLine="0" w:firstLineChars="0"/>
              <w:jc w:val="center"/>
              <w:rPr>
                <w:rFonts w:hint="eastAsia"/>
                <w:sz w:val="18"/>
                <w:szCs w:val="18"/>
              </w:rPr>
            </w:pPr>
            <w:r>
              <w:rPr>
                <w:rFonts w:hint="eastAsia"/>
                <w:sz w:val="18"/>
                <w:szCs w:val="18"/>
              </w:rPr>
              <w:t>限定性指标全部满足Ⅰ级基准值要求，且Y</w:t>
            </w:r>
            <w:r>
              <w:rPr>
                <w:rFonts w:hint="eastAsia"/>
                <w:sz w:val="18"/>
                <w:szCs w:val="18"/>
                <w:vertAlign w:val="subscript"/>
              </w:rPr>
              <w:t>Ⅰ</w:t>
            </w:r>
            <w:r>
              <w:rPr>
                <w:rFonts w:hint="eastAsia"/>
                <w:sz w:val="18"/>
                <w:szCs w:val="18"/>
              </w:rPr>
              <w:t>≥85；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678" w:type="dxa"/>
            <w:tcBorders>
              <w:tl2br w:val="nil"/>
              <w:tr2bl w:val="nil"/>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sz w:val="18"/>
                <w:szCs w:val="18"/>
              </w:rPr>
            </w:pPr>
            <w:r>
              <w:rPr>
                <w:rFonts w:hint="eastAsia"/>
                <w:sz w:val="18"/>
                <w:szCs w:val="18"/>
              </w:rPr>
              <w:t>Ⅱ级（国内清洁生产先进水平）</w:t>
            </w:r>
          </w:p>
        </w:tc>
        <w:tc>
          <w:tcPr>
            <w:tcW w:w="5775" w:type="dxa"/>
            <w:tcBorders>
              <w:tl2br w:val="nil"/>
              <w:tr2bl w:val="nil"/>
            </w:tcBorders>
            <w:noWrap w:val="0"/>
            <w:vAlign w:val="center"/>
          </w:tcPr>
          <w:p>
            <w:pPr>
              <w:pStyle w:val="24"/>
              <w:keepNext w:val="0"/>
              <w:keepLines w:val="0"/>
              <w:widowControl/>
              <w:suppressLineNumbers w:val="0"/>
              <w:spacing w:before="50" w:beforeAutospacing="0" w:after="159" w:afterLines="50" w:afterAutospacing="0"/>
              <w:ind w:left="0" w:right="0" w:firstLine="0" w:firstLineChars="0"/>
              <w:jc w:val="center"/>
              <w:rPr>
                <w:rFonts w:hint="eastAsia"/>
                <w:sz w:val="18"/>
                <w:szCs w:val="18"/>
              </w:rPr>
            </w:pPr>
            <w:r>
              <w:rPr>
                <w:rFonts w:hint="eastAsia"/>
                <w:sz w:val="18"/>
                <w:szCs w:val="18"/>
              </w:rPr>
              <w:t>限定性指标全部满足</w:t>
            </w:r>
            <w:r>
              <w:rPr>
                <w:rFonts w:hint="eastAsia" w:hAnsi="宋体"/>
                <w:sz w:val="18"/>
                <w:szCs w:val="18"/>
              </w:rPr>
              <w:t>Ⅱ</w:t>
            </w:r>
            <w:r>
              <w:rPr>
                <w:rFonts w:hint="eastAsia"/>
                <w:sz w:val="18"/>
                <w:szCs w:val="18"/>
              </w:rPr>
              <w:t>级基准值要求及以上，且Y</w:t>
            </w:r>
            <w:r>
              <w:rPr>
                <w:rFonts w:hint="eastAsia"/>
                <w:sz w:val="18"/>
                <w:szCs w:val="18"/>
                <w:vertAlign w:val="subscript"/>
              </w:rPr>
              <w:t>Ⅱ</w:t>
            </w:r>
            <w:r>
              <w:rPr>
                <w:rFonts w:hint="eastAsia"/>
                <w:sz w:val="18"/>
                <w:szCs w:val="18"/>
              </w:rPr>
              <w:t>≥85；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678" w:type="dxa"/>
            <w:tcBorders>
              <w:tl2br w:val="nil"/>
              <w:tr2bl w:val="nil"/>
            </w:tcBorders>
            <w:noWrap w:val="0"/>
            <w:vAlign w:val="center"/>
          </w:tcPr>
          <w:p>
            <w:pPr>
              <w:pStyle w:val="24"/>
              <w:keepNext w:val="0"/>
              <w:keepLines w:val="0"/>
              <w:widowControl/>
              <w:suppressLineNumbers w:val="0"/>
              <w:spacing w:before="159" w:beforeLines="50" w:beforeAutospacing="0" w:after="159" w:afterLines="50" w:afterAutospacing="0"/>
              <w:ind w:left="0" w:right="0" w:firstLine="0" w:firstLineChars="0"/>
              <w:jc w:val="center"/>
              <w:rPr>
                <w:rFonts w:hint="eastAsia"/>
                <w:sz w:val="18"/>
                <w:szCs w:val="18"/>
              </w:rPr>
            </w:pPr>
            <w:r>
              <w:rPr>
                <w:rFonts w:hint="eastAsia"/>
                <w:sz w:val="18"/>
                <w:szCs w:val="18"/>
              </w:rPr>
              <w:t>Ⅲ级（国内清洁生产一般水平）</w:t>
            </w:r>
          </w:p>
        </w:tc>
        <w:tc>
          <w:tcPr>
            <w:tcW w:w="5775" w:type="dxa"/>
            <w:tcBorders>
              <w:tl2br w:val="nil"/>
              <w:tr2bl w:val="nil"/>
            </w:tcBorders>
            <w:noWrap w:val="0"/>
            <w:vAlign w:val="center"/>
          </w:tcPr>
          <w:p>
            <w:pPr>
              <w:pStyle w:val="24"/>
              <w:keepNext w:val="0"/>
              <w:keepLines w:val="0"/>
              <w:widowControl/>
              <w:suppressLineNumbers w:val="0"/>
              <w:spacing w:before="50" w:beforeAutospacing="0" w:after="50" w:afterAutospacing="0"/>
              <w:ind w:left="0" w:right="0" w:firstLine="0" w:firstLineChars="0"/>
              <w:jc w:val="center"/>
              <w:rPr>
                <w:rFonts w:hint="eastAsia"/>
                <w:sz w:val="18"/>
                <w:szCs w:val="18"/>
              </w:rPr>
            </w:pPr>
            <w:r>
              <w:rPr>
                <w:rFonts w:hint="eastAsia"/>
                <w:sz w:val="18"/>
                <w:szCs w:val="18"/>
              </w:rPr>
              <w:t>限定性指标全部满足Ⅲ级基准值要求及以上，Y</w:t>
            </w:r>
            <w:r>
              <w:rPr>
                <w:rFonts w:hint="eastAsia" w:hAnsi="宋体" w:cs="宋体"/>
                <w:sz w:val="18"/>
                <w:szCs w:val="18"/>
                <w:vertAlign w:val="subscript"/>
              </w:rPr>
              <w:t>Ⅲ</w:t>
            </w:r>
            <w:r>
              <w:rPr>
                <w:rFonts w:hint="eastAsia" w:hAnsi="宋体"/>
                <w:sz w:val="18"/>
                <w:szCs w:val="18"/>
              </w:rPr>
              <w:t>=100</w:t>
            </w:r>
            <w:r>
              <w:rPr>
                <w:rFonts w:hint="eastAsia"/>
                <w:sz w:val="18"/>
                <w:szCs w:val="18"/>
              </w:rPr>
              <w:t>；</w:t>
            </w:r>
          </w:p>
        </w:tc>
      </w:tr>
    </w:tbl>
    <w:p>
      <w:pPr>
        <w:pStyle w:val="24"/>
        <w:spacing w:beforeLines="50" w:afterLines="50"/>
        <w:ind w:firstLine="0" w:firstLineChars="0"/>
      </w:pPr>
    </w:p>
    <w:p>
      <w:pPr>
        <w:pStyle w:val="136"/>
        <w:framePr w:wrap="around"/>
        <w:rPr>
          <w:u w:val="thick"/>
        </w:rPr>
      </w:pPr>
      <w:r>
        <w:rPr>
          <w:u w:val="thick"/>
        </w:rPr>
        <w:t>______________________</w:t>
      </w:r>
    </w:p>
    <w:p>
      <w:pPr>
        <w:pStyle w:val="10"/>
        <w:spacing w:before="1" w:line="276" w:lineRule="auto"/>
        <w:ind w:right="466"/>
        <w:jc w:val="both"/>
        <w:rPr>
          <w:rFonts w:hint="eastAsia" w:ascii="黑体" w:hAnsi="黑体" w:eastAsia="黑体" w:cs="黑体"/>
        </w:rPr>
      </w:pPr>
    </w:p>
    <w:p>
      <w:pPr>
        <w:pStyle w:val="10"/>
        <w:spacing w:before="1" w:line="276" w:lineRule="auto"/>
        <w:ind w:right="466"/>
        <w:jc w:val="center"/>
        <w:rPr>
          <w:rFonts w:hint="eastAsia" w:ascii="黑体" w:hAnsi="黑体" w:eastAsia="黑体" w:cs="黑体"/>
          <w:lang w:val="en-US" w:eastAsia="zh-CN"/>
        </w:rPr>
      </w:pPr>
    </w:p>
    <w:sectPr>
      <w:pgSz w:w="11906" w:h="16838"/>
      <w:pgMar w:top="567" w:right="1134" w:bottom="1134" w:left="1418" w:header="1418" w:footer="1134"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Cambria Math">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6"/>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2"/>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wbsecg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R4rjFiV9+/rj8+nP5/Z0s&#10;sz59gBrT7gMmpuGdHzB39gM6M+1BRZu/SIhgHNU9X9WVQyIiP1qv1usKQwJj8wXx2cPzECG9l96S&#10;bDQ04viKqvz0EdKYOqfkas7faWPKCI37x4GY2cNy72OP2UrDfpgI7X17Rj49Tr6hDhedEvPBobB5&#10;SWYjzsZ+No4h6kNXtijXg3B7TNhE6S1XGGGnwjiywm5ar7wTj+8l6+GX2v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IcG7HnIAQAAmgMAAA4AAAAAAAAAAQAgAAAAHgEAAGRycy9lMm9Eb2Mu&#10;eG1sUEsFBgAAAAAGAAYAWQEAAFgFAAAAAA==&#10;">
              <v:fill on="f" focussize="0,0"/>
              <v:stroke on="f"/>
              <v:imagedata o:title=""/>
              <o:lock v:ext="edit" aspectratio="f"/>
              <v:textbox inset="0mm,0mm,0mm,0mm" style="mso-fit-shape-to-text:t;">
                <w:txbxContent>
                  <w:p>
                    <w:pPr>
                      <w:pStyle w:val="13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2"/>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2"/>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0lCCcgBAACZ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pt6A0ljlsc+OX7t8uPX5efX8ky&#10;y9MHqDHrMWBeGu79gEsz+wGdmfWgos1f5EMwjuKer+LKIRGRH61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NJQgnIAQAAmQMAAA4AAAAAAAAAAQAgAAAAHgEAAGRycy9lMm9Eb2Mu&#10;eG1sUEsFBgAAAAAGAAYAWQEAAFgFAAAAAA==&#10;">
              <v:fill on="f" focussize="0,0"/>
              <v:stroke on="f"/>
              <v:imagedata o:title=""/>
              <o:lock v:ext="edit" aspectratio="f"/>
              <v:textbox inset="0mm,0mm,0mm,0mm" style="mso-fit-shape-to-text:t;">
                <w:txbxContent>
                  <w:p>
                    <w:pPr>
                      <w:pStyle w:val="13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6"/>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2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2"/>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2"/>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er9eMkBAACa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zcYhRL3vyhblehDeHRI2UXrLFUbYqTCOrLCb1ivvxJ/3kvX0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16v14yQEAAJoDAAAOAAAAAAAAAAEAIAAAAB4BAABkcnMvZTJvRG9j&#10;LnhtbFBLBQYAAAAABgAGAFkBAABZBQAAAAA=&#10;">
              <v:fill on="f" focussize="0,0"/>
              <v:stroke on="f"/>
              <v:imagedata o:title=""/>
              <o:lock v:ext="edit" aspectratio="f"/>
              <v:textbox inset="0mm,0mm,0mm,0mm" style="mso-fit-shape-to-text:t;">
                <w:txbxContent>
                  <w:p>
                    <w:pPr>
                      <w:pStyle w:val="13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6"/>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rPr>
        <w:rFonts w:hint="eastAsia" w:eastAsia="黑体"/>
        <w:lang w:eastAsia="zh-CN"/>
      </w:rPr>
    </w:pPr>
    <w:r>
      <w:rPr>
        <w:rFonts w:hint="eastAsia"/>
      </w:rPr>
      <w:t xml:space="preserve">T/SZS </w:t>
    </w:r>
    <w:r>
      <w:rPr>
        <w:rFonts w:hint="eastAsia"/>
        <w:lang w:val="en-US" w:eastAsia="zh-CN"/>
      </w:rPr>
      <w:t>XXXX</w:t>
    </w:r>
    <w:r>
      <w:rPr>
        <w:rFonts w:hint="eastAsia"/>
      </w:rPr>
      <w:t>—202</w:t>
    </w:r>
    <w:r>
      <w:rPr>
        <w:rFonts w:hint="eastAsia"/>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wordWrap w:val="0"/>
      <w:rPr>
        <w:rFonts w:hint="eastAsia" w:eastAsia="黑体"/>
        <w:lang w:eastAsia="zh-CN"/>
      </w:rPr>
    </w:pPr>
    <w:r>
      <w:rPr>
        <w:rFonts w:hint="eastAsia"/>
        <w:lang w:val="en-US" w:eastAsia="zh-CN"/>
      </w:rPr>
      <w:t>T</w:t>
    </w:r>
    <w:r>
      <w:rPr>
        <w:rFonts w:hint="eastAsia"/>
      </w:rPr>
      <w:t>/</w:t>
    </w:r>
    <w:r>
      <w:rPr>
        <w:rFonts w:hint="eastAsia"/>
        <w:lang w:val="en-US" w:eastAsia="zh-CN"/>
      </w:rPr>
      <w:t>SZS</w:t>
    </w:r>
    <w:r>
      <w:rPr>
        <w:rFonts w:hint="eastAsia"/>
      </w:rPr>
      <w:t xml:space="preserve"> </w:t>
    </w:r>
    <w:r>
      <w:rPr>
        <w:rFonts w:hint="eastAsia"/>
        <w:lang w:val="en-US" w:eastAsia="zh-CN"/>
      </w:rPr>
      <w:t>XXXX</w:t>
    </w:r>
    <w:r>
      <w:rPr>
        <w:rFonts w:hint="eastAsia"/>
      </w:rPr>
      <w:t>—202</w:t>
    </w:r>
    <w:r>
      <w:rPr>
        <w:rFonts w:hint="eastAsia"/>
        <w:lang w:val="en-US" w:eastAsia="zh-CN"/>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1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1"/>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9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3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5"/>
      <w:suff w:val="nothing"/>
      <w:lvlText w:val="%1.%2.%3　"/>
      <w:lvlJc w:val="left"/>
      <w:pPr>
        <w:ind w:left="420" w:firstLine="0"/>
      </w:pPr>
      <w:rPr>
        <w:rFonts w:hint="eastAsia" w:ascii="黑体" w:hAnsi="Times New Roman" w:eastAsia="黑体"/>
        <w:b w:val="0"/>
        <w:i w:val="0"/>
        <w:sz w:val="21"/>
      </w:rPr>
    </w:lvl>
    <w:lvl w:ilvl="3" w:tentative="0">
      <w:start w:val="1"/>
      <w:numFmt w:val="decimal"/>
      <w:pStyle w:val="77"/>
      <w:suff w:val="nothing"/>
      <w:lvlText w:val="%1.%2.%3.%4　"/>
      <w:lvlJc w:val="left"/>
      <w:pPr>
        <w:ind w:left="0" w:firstLine="0"/>
      </w:pPr>
      <w:rPr>
        <w:rFonts w:hint="eastAsia" w:ascii="黑体" w:hAnsi="Times New Roman" w:eastAsia="黑体"/>
        <w:b w:val="0"/>
        <w:i w:val="0"/>
        <w:sz w:val="21"/>
      </w:rPr>
    </w:lvl>
    <w:lvl w:ilvl="4" w:tentative="0">
      <w:start w:val="1"/>
      <w:numFmt w:val="decimal"/>
      <w:pStyle w:val="79"/>
      <w:suff w:val="nothing"/>
      <w:lvlText w:val="%1.%2.%3.%4.%5　"/>
      <w:lvlJc w:val="left"/>
      <w:pPr>
        <w:ind w:left="0" w:firstLine="0"/>
      </w:pPr>
      <w:rPr>
        <w:rFonts w:hint="eastAsia" w:ascii="黑体" w:hAnsi="Times New Roman" w:eastAsia="黑体"/>
        <w:b w:val="0"/>
        <w:i w:val="0"/>
        <w:sz w:val="21"/>
      </w:rPr>
    </w:lvl>
    <w:lvl w:ilvl="5" w:tentative="0">
      <w:start w:val="1"/>
      <w:numFmt w:val="decimal"/>
      <w:pStyle w:val="7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18"/>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11"/>
      <w:suff w:val="nothing"/>
      <w:lvlText w:val="%1——"/>
      <w:lvlJc w:val="left"/>
      <w:pPr>
        <w:ind w:left="833" w:hanging="408"/>
      </w:pPr>
      <w:rPr>
        <w:rFonts w:hint="eastAsia"/>
      </w:rPr>
    </w:lvl>
    <w:lvl w:ilvl="1" w:tentative="0">
      <w:start w:val="1"/>
      <w:numFmt w:val="bullet"/>
      <w:pStyle w:val="86"/>
      <w:lvlText w:val=""/>
      <w:lvlJc w:val="left"/>
      <w:pPr>
        <w:tabs>
          <w:tab w:val="left" w:pos="760"/>
        </w:tabs>
        <w:ind w:left="1264" w:hanging="413"/>
      </w:pPr>
      <w:rPr>
        <w:rFonts w:hint="default" w:ascii="Symbol" w:hAnsi="Symbol"/>
        <w:color w:val="auto"/>
      </w:rPr>
    </w:lvl>
    <w:lvl w:ilvl="2" w:tentative="0">
      <w:start w:val="1"/>
      <w:numFmt w:val="bullet"/>
      <w:pStyle w:val="12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13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7"/>
      <w:lvlText w:val="%2)"/>
      <w:lvlJc w:val="left"/>
      <w:pPr>
        <w:tabs>
          <w:tab w:val="left" w:pos="1260"/>
        </w:tabs>
        <w:ind w:left="1259" w:hanging="419"/>
      </w:pPr>
      <w:rPr>
        <w:rFonts w:hint="eastAsia"/>
      </w:rPr>
    </w:lvl>
    <w:lvl w:ilvl="2" w:tentative="0">
      <w:start w:val="1"/>
      <w:numFmt w:val="decimal"/>
      <w:pStyle w:val="9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10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103"/>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7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0"/>
      <w:suff w:val="nothing"/>
      <w:lvlText w:val="%1.%2.%3　"/>
      <w:lvlJc w:val="left"/>
      <w:pPr>
        <w:ind w:left="0" w:firstLine="0"/>
      </w:pPr>
      <w:rPr>
        <w:rFonts w:hint="eastAsia" w:ascii="黑体" w:hAnsi="Times New Roman" w:eastAsia="黑体"/>
        <w:b w:val="0"/>
        <w:i w:val="0"/>
        <w:sz w:val="21"/>
      </w:rPr>
    </w:lvl>
    <w:lvl w:ilvl="3" w:tentative="0">
      <w:start w:val="1"/>
      <w:numFmt w:val="decimal"/>
      <w:pStyle w:val="61"/>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pStyle w:val="5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b w:val="0"/>
        <w:i w:val="0"/>
        <w:sz w:val="21"/>
      </w:rPr>
    </w:lvl>
    <w:lvl w:ilvl="1" w:tentative="0">
      <w:start w:val="1"/>
      <w:numFmt w:val="decimal"/>
      <w:pStyle w:val="10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8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1"/>
  </w:num>
  <w:num w:numId="4">
    <w:abstractNumId w:val="2"/>
  </w:num>
  <w:num w:numId="5">
    <w:abstractNumId w:val="14"/>
  </w:num>
  <w:num w:numId="6">
    <w:abstractNumId w:val="16"/>
  </w:num>
  <w:num w:numId="7">
    <w:abstractNumId w:val="7"/>
  </w:num>
  <w:num w:numId="8">
    <w:abstractNumId w:val="12"/>
  </w:num>
  <w:num w:numId="9">
    <w:abstractNumId w:val="9"/>
  </w:num>
  <w:num w:numId="10">
    <w:abstractNumId w:val="3"/>
  </w:num>
  <w:num w:numId="11">
    <w:abstractNumId w:val="15"/>
  </w:num>
  <w:num w:numId="12">
    <w:abstractNumId w:val="10"/>
  </w:num>
  <w:num w:numId="13">
    <w:abstractNumId w:val="6"/>
  </w:num>
  <w:num w:numId="14">
    <w:abstractNumId w:val="0"/>
  </w:num>
  <w:num w:numId="15">
    <w:abstractNumId w:val="13"/>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YzQ1MGM2OTNkNjQ5OGZjZjJhOWNiNzA4ZGUwNzIifQ=="/>
  </w:docVars>
  <w:rsids>
    <w:rsidRoot w:val="00385191"/>
    <w:rsid w:val="00000244"/>
    <w:rsid w:val="0000185F"/>
    <w:rsid w:val="00002A40"/>
    <w:rsid w:val="0000586F"/>
    <w:rsid w:val="00013D86"/>
    <w:rsid w:val="00013E02"/>
    <w:rsid w:val="00020931"/>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3B38"/>
    <w:rsid w:val="000C6B05"/>
    <w:rsid w:val="000C6DD6"/>
    <w:rsid w:val="000C73D4"/>
    <w:rsid w:val="000D3D4C"/>
    <w:rsid w:val="000D4F51"/>
    <w:rsid w:val="000D718B"/>
    <w:rsid w:val="000E0C46"/>
    <w:rsid w:val="000E4CDC"/>
    <w:rsid w:val="000F030C"/>
    <w:rsid w:val="000F129C"/>
    <w:rsid w:val="001056DE"/>
    <w:rsid w:val="001124C0"/>
    <w:rsid w:val="0013175F"/>
    <w:rsid w:val="0013207D"/>
    <w:rsid w:val="0013402C"/>
    <w:rsid w:val="001347E2"/>
    <w:rsid w:val="001512B4"/>
    <w:rsid w:val="001620A5"/>
    <w:rsid w:val="00164E53"/>
    <w:rsid w:val="0016699D"/>
    <w:rsid w:val="00175159"/>
    <w:rsid w:val="00176208"/>
    <w:rsid w:val="00176ECA"/>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12C04"/>
    <w:rsid w:val="00226AE4"/>
    <w:rsid w:val="00234467"/>
    <w:rsid w:val="00237D8D"/>
    <w:rsid w:val="00241DA2"/>
    <w:rsid w:val="00247FEE"/>
    <w:rsid w:val="002509FA"/>
    <w:rsid w:val="00250E7D"/>
    <w:rsid w:val="002565D5"/>
    <w:rsid w:val="002622C0"/>
    <w:rsid w:val="00276E33"/>
    <w:rsid w:val="002778AE"/>
    <w:rsid w:val="0028269A"/>
    <w:rsid w:val="00283590"/>
    <w:rsid w:val="00283D6F"/>
    <w:rsid w:val="00286973"/>
    <w:rsid w:val="00290C79"/>
    <w:rsid w:val="0029193D"/>
    <w:rsid w:val="00294E70"/>
    <w:rsid w:val="002A0F85"/>
    <w:rsid w:val="002A1924"/>
    <w:rsid w:val="002A7420"/>
    <w:rsid w:val="002B052D"/>
    <w:rsid w:val="002B0F12"/>
    <w:rsid w:val="002B1308"/>
    <w:rsid w:val="002B4554"/>
    <w:rsid w:val="002C478E"/>
    <w:rsid w:val="002C5E37"/>
    <w:rsid w:val="002C72D8"/>
    <w:rsid w:val="002D11FA"/>
    <w:rsid w:val="002E0DDF"/>
    <w:rsid w:val="002E2906"/>
    <w:rsid w:val="002E5635"/>
    <w:rsid w:val="002E64C3"/>
    <w:rsid w:val="002E6A2C"/>
    <w:rsid w:val="002F1D8C"/>
    <w:rsid w:val="002F21DA"/>
    <w:rsid w:val="00301F39"/>
    <w:rsid w:val="00325926"/>
    <w:rsid w:val="00327A8A"/>
    <w:rsid w:val="00336610"/>
    <w:rsid w:val="00336D86"/>
    <w:rsid w:val="00343F73"/>
    <w:rsid w:val="00345060"/>
    <w:rsid w:val="0035323B"/>
    <w:rsid w:val="003609D2"/>
    <w:rsid w:val="00363F22"/>
    <w:rsid w:val="00375564"/>
    <w:rsid w:val="00383191"/>
    <w:rsid w:val="00385191"/>
    <w:rsid w:val="00386DED"/>
    <w:rsid w:val="003912E7"/>
    <w:rsid w:val="00393947"/>
    <w:rsid w:val="003A2275"/>
    <w:rsid w:val="003A6A4F"/>
    <w:rsid w:val="003A7088"/>
    <w:rsid w:val="003A7253"/>
    <w:rsid w:val="003B00DF"/>
    <w:rsid w:val="003B1275"/>
    <w:rsid w:val="003B1778"/>
    <w:rsid w:val="003C11CB"/>
    <w:rsid w:val="003C75F3"/>
    <w:rsid w:val="003C78A3"/>
    <w:rsid w:val="003E1867"/>
    <w:rsid w:val="003E5729"/>
    <w:rsid w:val="003F4EE0"/>
    <w:rsid w:val="003F71E6"/>
    <w:rsid w:val="00402153"/>
    <w:rsid w:val="00402FC1"/>
    <w:rsid w:val="00425082"/>
    <w:rsid w:val="00431DEB"/>
    <w:rsid w:val="0044396A"/>
    <w:rsid w:val="00446B29"/>
    <w:rsid w:val="004479A9"/>
    <w:rsid w:val="00453F9A"/>
    <w:rsid w:val="00471E91"/>
    <w:rsid w:val="00474675"/>
    <w:rsid w:val="0047470C"/>
    <w:rsid w:val="004A35F9"/>
    <w:rsid w:val="004A7604"/>
    <w:rsid w:val="004B24C1"/>
    <w:rsid w:val="004C292F"/>
    <w:rsid w:val="004C7EE3"/>
    <w:rsid w:val="004D13FC"/>
    <w:rsid w:val="004E172C"/>
    <w:rsid w:val="004E4FA9"/>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5E4C25"/>
    <w:rsid w:val="0061716C"/>
    <w:rsid w:val="006243A1"/>
    <w:rsid w:val="00632E56"/>
    <w:rsid w:val="00635CBA"/>
    <w:rsid w:val="0064338B"/>
    <w:rsid w:val="00646542"/>
    <w:rsid w:val="006504F4"/>
    <w:rsid w:val="00654BC9"/>
    <w:rsid w:val="006552FD"/>
    <w:rsid w:val="00663AF3"/>
    <w:rsid w:val="00666B6C"/>
    <w:rsid w:val="00670873"/>
    <w:rsid w:val="00682682"/>
    <w:rsid w:val="00682702"/>
    <w:rsid w:val="00692368"/>
    <w:rsid w:val="00697561"/>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66CA6"/>
    <w:rsid w:val="0076798B"/>
    <w:rsid w:val="00786FC1"/>
    <w:rsid w:val="007913AB"/>
    <w:rsid w:val="007914F7"/>
    <w:rsid w:val="00791F98"/>
    <w:rsid w:val="0079626F"/>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3681"/>
    <w:rsid w:val="00835DB3"/>
    <w:rsid w:val="0083617B"/>
    <w:rsid w:val="008371BD"/>
    <w:rsid w:val="00843A3B"/>
    <w:rsid w:val="008504A8"/>
    <w:rsid w:val="008520F0"/>
    <w:rsid w:val="0085282E"/>
    <w:rsid w:val="0085288C"/>
    <w:rsid w:val="00867D5C"/>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5608"/>
    <w:rsid w:val="009279DE"/>
    <w:rsid w:val="00930116"/>
    <w:rsid w:val="00935884"/>
    <w:rsid w:val="0094212C"/>
    <w:rsid w:val="00954689"/>
    <w:rsid w:val="009617C9"/>
    <w:rsid w:val="00961942"/>
    <w:rsid w:val="00961B15"/>
    <w:rsid w:val="00961C93"/>
    <w:rsid w:val="009634B3"/>
    <w:rsid w:val="00965324"/>
    <w:rsid w:val="0097091E"/>
    <w:rsid w:val="009760D3"/>
    <w:rsid w:val="00977132"/>
    <w:rsid w:val="00981A4B"/>
    <w:rsid w:val="00982501"/>
    <w:rsid w:val="009852E6"/>
    <w:rsid w:val="009877D3"/>
    <w:rsid w:val="00987DD8"/>
    <w:rsid w:val="00994E8F"/>
    <w:rsid w:val="009951DC"/>
    <w:rsid w:val="009959BB"/>
    <w:rsid w:val="00997158"/>
    <w:rsid w:val="009A3A7C"/>
    <w:rsid w:val="009B2ADB"/>
    <w:rsid w:val="009B603A"/>
    <w:rsid w:val="009C23F2"/>
    <w:rsid w:val="009C2D0E"/>
    <w:rsid w:val="009C3DAC"/>
    <w:rsid w:val="009C42E0"/>
    <w:rsid w:val="009D5362"/>
    <w:rsid w:val="009E1415"/>
    <w:rsid w:val="009E6116"/>
    <w:rsid w:val="00A02E43"/>
    <w:rsid w:val="00A0360F"/>
    <w:rsid w:val="00A065F9"/>
    <w:rsid w:val="00A07F34"/>
    <w:rsid w:val="00A220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4658"/>
    <w:rsid w:val="00AE6D15"/>
    <w:rsid w:val="00B04182"/>
    <w:rsid w:val="00B07AE3"/>
    <w:rsid w:val="00B11430"/>
    <w:rsid w:val="00B24B53"/>
    <w:rsid w:val="00B353EB"/>
    <w:rsid w:val="00B439C4"/>
    <w:rsid w:val="00B44A82"/>
    <w:rsid w:val="00B4535E"/>
    <w:rsid w:val="00B52A8C"/>
    <w:rsid w:val="00B636A8"/>
    <w:rsid w:val="00B665C6"/>
    <w:rsid w:val="00B805AF"/>
    <w:rsid w:val="00B828C0"/>
    <w:rsid w:val="00B869EC"/>
    <w:rsid w:val="00B9397A"/>
    <w:rsid w:val="00B9633D"/>
    <w:rsid w:val="00B966FE"/>
    <w:rsid w:val="00BA2EBE"/>
    <w:rsid w:val="00BB0F28"/>
    <w:rsid w:val="00BB458A"/>
    <w:rsid w:val="00BD00D3"/>
    <w:rsid w:val="00BD1659"/>
    <w:rsid w:val="00BD3AA9"/>
    <w:rsid w:val="00BD4A18"/>
    <w:rsid w:val="00BD6DB2"/>
    <w:rsid w:val="00BD79C1"/>
    <w:rsid w:val="00BE11CF"/>
    <w:rsid w:val="00BE21AB"/>
    <w:rsid w:val="00BE55CB"/>
    <w:rsid w:val="00BF617A"/>
    <w:rsid w:val="00C0379D"/>
    <w:rsid w:val="00C03931"/>
    <w:rsid w:val="00C051E1"/>
    <w:rsid w:val="00C05FE3"/>
    <w:rsid w:val="00C2136D"/>
    <w:rsid w:val="00C214EE"/>
    <w:rsid w:val="00C2314B"/>
    <w:rsid w:val="00C24971"/>
    <w:rsid w:val="00C26BE5"/>
    <w:rsid w:val="00C26E4D"/>
    <w:rsid w:val="00C27909"/>
    <w:rsid w:val="00C27B03"/>
    <w:rsid w:val="00C314E1"/>
    <w:rsid w:val="00C34397"/>
    <w:rsid w:val="00C4095D"/>
    <w:rsid w:val="00C601D2"/>
    <w:rsid w:val="00C64B72"/>
    <w:rsid w:val="00C65BCC"/>
    <w:rsid w:val="00C66970"/>
    <w:rsid w:val="00C8691C"/>
    <w:rsid w:val="00C9288C"/>
    <w:rsid w:val="00CA168A"/>
    <w:rsid w:val="00CA357E"/>
    <w:rsid w:val="00CA44F9"/>
    <w:rsid w:val="00CA4A69"/>
    <w:rsid w:val="00CC3E0C"/>
    <w:rsid w:val="00CC58D3"/>
    <w:rsid w:val="00CC784D"/>
    <w:rsid w:val="00CE2131"/>
    <w:rsid w:val="00CF30A9"/>
    <w:rsid w:val="00D0337B"/>
    <w:rsid w:val="00D079B2"/>
    <w:rsid w:val="00D114E9"/>
    <w:rsid w:val="00D429C6"/>
    <w:rsid w:val="00D4648A"/>
    <w:rsid w:val="00D47748"/>
    <w:rsid w:val="00D54CC3"/>
    <w:rsid w:val="00D6041A"/>
    <w:rsid w:val="00D633EB"/>
    <w:rsid w:val="00D70859"/>
    <w:rsid w:val="00D82FF7"/>
    <w:rsid w:val="00D847FE"/>
    <w:rsid w:val="00D95D0C"/>
    <w:rsid w:val="00D964EA"/>
    <w:rsid w:val="00D966D0"/>
    <w:rsid w:val="00DA0C59"/>
    <w:rsid w:val="00DA3991"/>
    <w:rsid w:val="00DB3947"/>
    <w:rsid w:val="00DB7E6C"/>
    <w:rsid w:val="00DC32D4"/>
    <w:rsid w:val="00DD5A29"/>
    <w:rsid w:val="00DD5D9D"/>
    <w:rsid w:val="00DE35CB"/>
    <w:rsid w:val="00DF21E9"/>
    <w:rsid w:val="00DF542B"/>
    <w:rsid w:val="00E00F14"/>
    <w:rsid w:val="00E06386"/>
    <w:rsid w:val="00E14A55"/>
    <w:rsid w:val="00E24EB4"/>
    <w:rsid w:val="00E320ED"/>
    <w:rsid w:val="00E33AFB"/>
    <w:rsid w:val="00E34218"/>
    <w:rsid w:val="00E36039"/>
    <w:rsid w:val="00E46282"/>
    <w:rsid w:val="00E5216E"/>
    <w:rsid w:val="00E570AE"/>
    <w:rsid w:val="00E64C59"/>
    <w:rsid w:val="00E82344"/>
    <w:rsid w:val="00E82855"/>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0E4B"/>
    <w:rsid w:val="00EF244F"/>
    <w:rsid w:val="00F053FA"/>
    <w:rsid w:val="00F11BB5"/>
    <w:rsid w:val="00F1417B"/>
    <w:rsid w:val="00F34B99"/>
    <w:rsid w:val="00F47F9A"/>
    <w:rsid w:val="00F52DAB"/>
    <w:rsid w:val="00F543F0"/>
    <w:rsid w:val="00F81D29"/>
    <w:rsid w:val="00F91C4D"/>
    <w:rsid w:val="00F92FD9"/>
    <w:rsid w:val="00FA6684"/>
    <w:rsid w:val="00FA731E"/>
    <w:rsid w:val="00FB2B38"/>
    <w:rsid w:val="00FC57D0"/>
    <w:rsid w:val="00FC6358"/>
    <w:rsid w:val="00FD320D"/>
    <w:rsid w:val="00FE23DE"/>
    <w:rsid w:val="00FE7A4F"/>
    <w:rsid w:val="011B6997"/>
    <w:rsid w:val="01207B0A"/>
    <w:rsid w:val="012C721B"/>
    <w:rsid w:val="01357FDD"/>
    <w:rsid w:val="013B22E5"/>
    <w:rsid w:val="016A6FD7"/>
    <w:rsid w:val="0170723F"/>
    <w:rsid w:val="018A6D4A"/>
    <w:rsid w:val="01926537"/>
    <w:rsid w:val="01AA3877"/>
    <w:rsid w:val="01B55C7C"/>
    <w:rsid w:val="01C32A07"/>
    <w:rsid w:val="01E07299"/>
    <w:rsid w:val="01F444FB"/>
    <w:rsid w:val="02315E8E"/>
    <w:rsid w:val="02641C78"/>
    <w:rsid w:val="028247F4"/>
    <w:rsid w:val="028C11CF"/>
    <w:rsid w:val="029D40B0"/>
    <w:rsid w:val="02C13975"/>
    <w:rsid w:val="03022604"/>
    <w:rsid w:val="032515D2"/>
    <w:rsid w:val="032A4C70"/>
    <w:rsid w:val="032F04D8"/>
    <w:rsid w:val="03334301"/>
    <w:rsid w:val="03883A9C"/>
    <w:rsid w:val="038A7E04"/>
    <w:rsid w:val="039F6AB1"/>
    <w:rsid w:val="03E272F9"/>
    <w:rsid w:val="03FC0B82"/>
    <w:rsid w:val="042206A8"/>
    <w:rsid w:val="044237F2"/>
    <w:rsid w:val="04615C3E"/>
    <w:rsid w:val="046E793F"/>
    <w:rsid w:val="047A5F8F"/>
    <w:rsid w:val="048605CC"/>
    <w:rsid w:val="04904FA7"/>
    <w:rsid w:val="04E62E37"/>
    <w:rsid w:val="04EA0282"/>
    <w:rsid w:val="04F16966"/>
    <w:rsid w:val="04F419D9"/>
    <w:rsid w:val="05516986"/>
    <w:rsid w:val="057448C8"/>
    <w:rsid w:val="058E6CAC"/>
    <w:rsid w:val="059E36F3"/>
    <w:rsid w:val="06053772"/>
    <w:rsid w:val="06112AF1"/>
    <w:rsid w:val="06316315"/>
    <w:rsid w:val="0642490C"/>
    <w:rsid w:val="06473986"/>
    <w:rsid w:val="06502F7D"/>
    <w:rsid w:val="066A0E21"/>
    <w:rsid w:val="06874C6D"/>
    <w:rsid w:val="06D60E04"/>
    <w:rsid w:val="06F2019A"/>
    <w:rsid w:val="07150628"/>
    <w:rsid w:val="07434552"/>
    <w:rsid w:val="07926BB3"/>
    <w:rsid w:val="07A34FF1"/>
    <w:rsid w:val="07D51C58"/>
    <w:rsid w:val="07DB3EFC"/>
    <w:rsid w:val="07F949BB"/>
    <w:rsid w:val="07FC677C"/>
    <w:rsid w:val="080A5070"/>
    <w:rsid w:val="080E4C40"/>
    <w:rsid w:val="081D2FF5"/>
    <w:rsid w:val="082223BA"/>
    <w:rsid w:val="0824065B"/>
    <w:rsid w:val="082E3649"/>
    <w:rsid w:val="083245C7"/>
    <w:rsid w:val="085A1A45"/>
    <w:rsid w:val="088335DB"/>
    <w:rsid w:val="088F37B7"/>
    <w:rsid w:val="08BB45BC"/>
    <w:rsid w:val="08D613F6"/>
    <w:rsid w:val="08E43027"/>
    <w:rsid w:val="09061CDB"/>
    <w:rsid w:val="090855DE"/>
    <w:rsid w:val="090D1308"/>
    <w:rsid w:val="09390D6A"/>
    <w:rsid w:val="093C394F"/>
    <w:rsid w:val="093F6F9B"/>
    <w:rsid w:val="09464799"/>
    <w:rsid w:val="09495367"/>
    <w:rsid w:val="09574E64"/>
    <w:rsid w:val="09623FE0"/>
    <w:rsid w:val="09954C0A"/>
    <w:rsid w:val="099E242B"/>
    <w:rsid w:val="09EE1750"/>
    <w:rsid w:val="09F430A4"/>
    <w:rsid w:val="0A053D41"/>
    <w:rsid w:val="0A1246B0"/>
    <w:rsid w:val="0A1A36A0"/>
    <w:rsid w:val="0A1F4B8D"/>
    <w:rsid w:val="0A2A37A7"/>
    <w:rsid w:val="0A386204"/>
    <w:rsid w:val="0A426D43"/>
    <w:rsid w:val="0A5D60B3"/>
    <w:rsid w:val="0A812521"/>
    <w:rsid w:val="0A832FBC"/>
    <w:rsid w:val="0AAB03C6"/>
    <w:rsid w:val="0AAF2F53"/>
    <w:rsid w:val="0AE6439A"/>
    <w:rsid w:val="0AF205AE"/>
    <w:rsid w:val="0AF3472D"/>
    <w:rsid w:val="0AF53DB5"/>
    <w:rsid w:val="0B0C6F50"/>
    <w:rsid w:val="0B466F5E"/>
    <w:rsid w:val="0B61769D"/>
    <w:rsid w:val="0B626F71"/>
    <w:rsid w:val="0B6B22C9"/>
    <w:rsid w:val="0B705B32"/>
    <w:rsid w:val="0BDB7BB5"/>
    <w:rsid w:val="0C1464BD"/>
    <w:rsid w:val="0C4032E1"/>
    <w:rsid w:val="0C413330"/>
    <w:rsid w:val="0C457949"/>
    <w:rsid w:val="0C547201"/>
    <w:rsid w:val="0C575F0A"/>
    <w:rsid w:val="0C5952ED"/>
    <w:rsid w:val="0C5A4978"/>
    <w:rsid w:val="0C711B61"/>
    <w:rsid w:val="0C721D55"/>
    <w:rsid w:val="0C7261F3"/>
    <w:rsid w:val="0C7B29E0"/>
    <w:rsid w:val="0C87469E"/>
    <w:rsid w:val="0CA111F1"/>
    <w:rsid w:val="0CA57A5D"/>
    <w:rsid w:val="0CAF3ECF"/>
    <w:rsid w:val="0CDD2F3B"/>
    <w:rsid w:val="0CF4009D"/>
    <w:rsid w:val="0D2210AE"/>
    <w:rsid w:val="0D2C1FE4"/>
    <w:rsid w:val="0D3071EF"/>
    <w:rsid w:val="0D602AEF"/>
    <w:rsid w:val="0D6760AF"/>
    <w:rsid w:val="0D90558B"/>
    <w:rsid w:val="0D921D8F"/>
    <w:rsid w:val="0DB95CFD"/>
    <w:rsid w:val="0DF04D08"/>
    <w:rsid w:val="0E250739"/>
    <w:rsid w:val="0E572FD9"/>
    <w:rsid w:val="0E5A168E"/>
    <w:rsid w:val="0EFF035F"/>
    <w:rsid w:val="0F050C85"/>
    <w:rsid w:val="0F21464E"/>
    <w:rsid w:val="0F455F34"/>
    <w:rsid w:val="0F540F99"/>
    <w:rsid w:val="0F845CFF"/>
    <w:rsid w:val="0FA967B3"/>
    <w:rsid w:val="0FBD50BE"/>
    <w:rsid w:val="0FC14B12"/>
    <w:rsid w:val="0FC46878"/>
    <w:rsid w:val="0FFC5BE6"/>
    <w:rsid w:val="0FFF56D6"/>
    <w:rsid w:val="10141182"/>
    <w:rsid w:val="10196798"/>
    <w:rsid w:val="10315EA0"/>
    <w:rsid w:val="104610EE"/>
    <w:rsid w:val="106151AA"/>
    <w:rsid w:val="108654B0"/>
    <w:rsid w:val="10873675"/>
    <w:rsid w:val="109E0A4B"/>
    <w:rsid w:val="10AD7E83"/>
    <w:rsid w:val="10D12322"/>
    <w:rsid w:val="11020FDA"/>
    <w:rsid w:val="11050ACA"/>
    <w:rsid w:val="11072A94"/>
    <w:rsid w:val="11151584"/>
    <w:rsid w:val="1140573B"/>
    <w:rsid w:val="114333A1"/>
    <w:rsid w:val="11455C9C"/>
    <w:rsid w:val="11B37538"/>
    <w:rsid w:val="11C10E95"/>
    <w:rsid w:val="11D72467"/>
    <w:rsid w:val="1202565D"/>
    <w:rsid w:val="123868B2"/>
    <w:rsid w:val="124A6C23"/>
    <w:rsid w:val="1251268A"/>
    <w:rsid w:val="125745D8"/>
    <w:rsid w:val="126D1B3B"/>
    <w:rsid w:val="128B05FA"/>
    <w:rsid w:val="12977157"/>
    <w:rsid w:val="12B944B8"/>
    <w:rsid w:val="12C7072D"/>
    <w:rsid w:val="131E7C21"/>
    <w:rsid w:val="13370CE3"/>
    <w:rsid w:val="134A310C"/>
    <w:rsid w:val="13BF714F"/>
    <w:rsid w:val="13D053C0"/>
    <w:rsid w:val="13E36DF3"/>
    <w:rsid w:val="13EB044B"/>
    <w:rsid w:val="13F05A62"/>
    <w:rsid w:val="140212F1"/>
    <w:rsid w:val="142B78F6"/>
    <w:rsid w:val="143811B7"/>
    <w:rsid w:val="1468163C"/>
    <w:rsid w:val="148A54F6"/>
    <w:rsid w:val="148D1503"/>
    <w:rsid w:val="14A5684C"/>
    <w:rsid w:val="14C12F5A"/>
    <w:rsid w:val="14CB3DD9"/>
    <w:rsid w:val="150C68CB"/>
    <w:rsid w:val="15665703"/>
    <w:rsid w:val="15B577A1"/>
    <w:rsid w:val="15BF56EC"/>
    <w:rsid w:val="15C94279"/>
    <w:rsid w:val="15D24D4D"/>
    <w:rsid w:val="15D41DB9"/>
    <w:rsid w:val="15D53161"/>
    <w:rsid w:val="15F25BD1"/>
    <w:rsid w:val="15FB1991"/>
    <w:rsid w:val="16042C45"/>
    <w:rsid w:val="16445BF1"/>
    <w:rsid w:val="16625A09"/>
    <w:rsid w:val="16646293"/>
    <w:rsid w:val="166F2094"/>
    <w:rsid w:val="16704C38"/>
    <w:rsid w:val="167B314E"/>
    <w:rsid w:val="1680076C"/>
    <w:rsid w:val="16817E25"/>
    <w:rsid w:val="16E9797E"/>
    <w:rsid w:val="16F713F0"/>
    <w:rsid w:val="170B5651"/>
    <w:rsid w:val="1728687D"/>
    <w:rsid w:val="174340FA"/>
    <w:rsid w:val="17615F65"/>
    <w:rsid w:val="177E5132"/>
    <w:rsid w:val="17884203"/>
    <w:rsid w:val="178C2009"/>
    <w:rsid w:val="17A34B99"/>
    <w:rsid w:val="17AB74B7"/>
    <w:rsid w:val="17D336D0"/>
    <w:rsid w:val="17D42FA4"/>
    <w:rsid w:val="17FF2717"/>
    <w:rsid w:val="18057602"/>
    <w:rsid w:val="182A0E16"/>
    <w:rsid w:val="18622CA6"/>
    <w:rsid w:val="187E3FBE"/>
    <w:rsid w:val="189F691A"/>
    <w:rsid w:val="18A11ACE"/>
    <w:rsid w:val="18BD1C8B"/>
    <w:rsid w:val="18C9062F"/>
    <w:rsid w:val="18CF1113"/>
    <w:rsid w:val="18D45952"/>
    <w:rsid w:val="190573EB"/>
    <w:rsid w:val="19211AE1"/>
    <w:rsid w:val="19537912"/>
    <w:rsid w:val="196759BB"/>
    <w:rsid w:val="196A3BC0"/>
    <w:rsid w:val="19C31F4B"/>
    <w:rsid w:val="19C71D85"/>
    <w:rsid w:val="19C96C66"/>
    <w:rsid w:val="19CD05BF"/>
    <w:rsid w:val="19ED659F"/>
    <w:rsid w:val="1A023DF9"/>
    <w:rsid w:val="1A07383F"/>
    <w:rsid w:val="1A0F0492"/>
    <w:rsid w:val="1A134258"/>
    <w:rsid w:val="1A213119"/>
    <w:rsid w:val="1A32795D"/>
    <w:rsid w:val="1A3348FA"/>
    <w:rsid w:val="1A494467"/>
    <w:rsid w:val="1A6D2489"/>
    <w:rsid w:val="1A706507"/>
    <w:rsid w:val="1A706A3B"/>
    <w:rsid w:val="1A78055F"/>
    <w:rsid w:val="1A840CB2"/>
    <w:rsid w:val="1A8563CA"/>
    <w:rsid w:val="1A8D79B5"/>
    <w:rsid w:val="1AA03612"/>
    <w:rsid w:val="1AC30157"/>
    <w:rsid w:val="1AD31C39"/>
    <w:rsid w:val="1AE76561"/>
    <w:rsid w:val="1AED4AA9"/>
    <w:rsid w:val="1B140A04"/>
    <w:rsid w:val="1B19589E"/>
    <w:rsid w:val="1B2220A2"/>
    <w:rsid w:val="1B243407"/>
    <w:rsid w:val="1B2900A7"/>
    <w:rsid w:val="1B570174"/>
    <w:rsid w:val="1B752CDB"/>
    <w:rsid w:val="1BA62EAA"/>
    <w:rsid w:val="1BBD6EDA"/>
    <w:rsid w:val="1BC53330"/>
    <w:rsid w:val="1BCF1468"/>
    <w:rsid w:val="1C0732EB"/>
    <w:rsid w:val="1C0E2F29"/>
    <w:rsid w:val="1C175B5D"/>
    <w:rsid w:val="1C2F2E9F"/>
    <w:rsid w:val="1C3B5CE8"/>
    <w:rsid w:val="1C512E16"/>
    <w:rsid w:val="1C5B1EE6"/>
    <w:rsid w:val="1C7B4C46"/>
    <w:rsid w:val="1C7E1406"/>
    <w:rsid w:val="1C8651B5"/>
    <w:rsid w:val="1C910563"/>
    <w:rsid w:val="1C924A2E"/>
    <w:rsid w:val="1CB15E97"/>
    <w:rsid w:val="1CC25AC1"/>
    <w:rsid w:val="1CC859EF"/>
    <w:rsid w:val="1CDA4C49"/>
    <w:rsid w:val="1CEB7B58"/>
    <w:rsid w:val="1CF260C3"/>
    <w:rsid w:val="1D052518"/>
    <w:rsid w:val="1D0F451B"/>
    <w:rsid w:val="1D1C6BD4"/>
    <w:rsid w:val="1D303577"/>
    <w:rsid w:val="1D4330A6"/>
    <w:rsid w:val="1D6628F1"/>
    <w:rsid w:val="1D6B01AE"/>
    <w:rsid w:val="1D6D70AD"/>
    <w:rsid w:val="1D752B34"/>
    <w:rsid w:val="1D835251"/>
    <w:rsid w:val="1D95526F"/>
    <w:rsid w:val="1DA91EAE"/>
    <w:rsid w:val="1E0F4D36"/>
    <w:rsid w:val="1E446239"/>
    <w:rsid w:val="1E510590"/>
    <w:rsid w:val="1E545989"/>
    <w:rsid w:val="1E8A4F14"/>
    <w:rsid w:val="1EE15D6A"/>
    <w:rsid w:val="1EFB46DC"/>
    <w:rsid w:val="1EFF3EC6"/>
    <w:rsid w:val="1F0E05E7"/>
    <w:rsid w:val="1F197CBA"/>
    <w:rsid w:val="1F3A588D"/>
    <w:rsid w:val="1F506ABE"/>
    <w:rsid w:val="1F6A53CC"/>
    <w:rsid w:val="1F7B46F8"/>
    <w:rsid w:val="1F9B5FA8"/>
    <w:rsid w:val="1FCC4107"/>
    <w:rsid w:val="1FD7037F"/>
    <w:rsid w:val="1FEF3071"/>
    <w:rsid w:val="1FEF6885"/>
    <w:rsid w:val="1FF064F2"/>
    <w:rsid w:val="1FF57F5C"/>
    <w:rsid w:val="1FF64808"/>
    <w:rsid w:val="200A0886"/>
    <w:rsid w:val="200C3C23"/>
    <w:rsid w:val="20112FE8"/>
    <w:rsid w:val="20126C7F"/>
    <w:rsid w:val="20150279"/>
    <w:rsid w:val="20191826"/>
    <w:rsid w:val="2042220F"/>
    <w:rsid w:val="207A4E0D"/>
    <w:rsid w:val="20C444FE"/>
    <w:rsid w:val="20DD3944"/>
    <w:rsid w:val="20F71FE9"/>
    <w:rsid w:val="211E55E9"/>
    <w:rsid w:val="21210A27"/>
    <w:rsid w:val="213477E8"/>
    <w:rsid w:val="21423675"/>
    <w:rsid w:val="21562C7C"/>
    <w:rsid w:val="216159D7"/>
    <w:rsid w:val="21772CCC"/>
    <w:rsid w:val="217A57CD"/>
    <w:rsid w:val="217B3C94"/>
    <w:rsid w:val="21AB2FC8"/>
    <w:rsid w:val="21B014CA"/>
    <w:rsid w:val="21D91FE1"/>
    <w:rsid w:val="21DD6F81"/>
    <w:rsid w:val="21DE64E4"/>
    <w:rsid w:val="21E022E1"/>
    <w:rsid w:val="21F626A5"/>
    <w:rsid w:val="21F6741E"/>
    <w:rsid w:val="222D60D3"/>
    <w:rsid w:val="22371C77"/>
    <w:rsid w:val="223D7682"/>
    <w:rsid w:val="22474DEB"/>
    <w:rsid w:val="22522D84"/>
    <w:rsid w:val="22623FCE"/>
    <w:rsid w:val="228C4BA7"/>
    <w:rsid w:val="22A60FDE"/>
    <w:rsid w:val="22B20386"/>
    <w:rsid w:val="22BD65FD"/>
    <w:rsid w:val="22C34341"/>
    <w:rsid w:val="22C52B40"/>
    <w:rsid w:val="22DA15E4"/>
    <w:rsid w:val="22DB3416"/>
    <w:rsid w:val="230A1F70"/>
    <w:rsid w:val="23102635"/>
    <w:rsid w:val="23144B9D"/>
    <w:rsid w:val="232C0139"/>
    <w:rsid w:val="233C584A"/>
    <w:rsid w:val="2345239A"/>
    <w:rsid w:val="234F3CAF"/>
    <w:rsid w:val="235E58B1"/>
    <w:rsid w:val="23891174"/>
    <w:rsid w:val="238E14A5"/>
    <w:rsid w:val="23C04E17"/>
    <w:rsid w:val="23C30A9D"/>
    <w:rsid w:val="23CD1CEB"/>
    <w:rsid w:val="23D85947"/>
    <w:rsid w:val="23ED369C"/>
    <w:rsid w:val="23FF53C2"/>
    <w:rsid w:val="24101C7B"/>
    <w:rsid w:val="2416738D"/>
    <w:rsid w:val="243F7D6A"/>
    <w:rsid w:val="24572FDD"/>
    <w:rsid w:val="24661428"/>
    <w:rsid w:val="246D0A09"/>
    <w:rsid w:val="248E0150"/>
    <w:rsid w:val="24A31269"/>
    <w:rsid w:val="24C25469"/>
    <w:rsid w:val="24D266D0"/>
    <w:rsid w:val="24DB3138"/>
    <w:rsid w:val="24DD07D7"/>
    <w:rsid w:val="24FE0162"/>
    <w:rsid w:val="250D457C"/>
    <w:rsid w:val="25107D49"/>
    <w:rsid w:val="251C7F7B"/>
    <w:rsid w:val="25234E26"/>
    <w:rsid w:val="255E0351"/>
    <w:rsid w:val="258E0C37"/>
    <w:rsid w:val="25AB32F0"/>
    <w:rsid w:val="25C72D6E"/>
    <w:rsid w:val="25D32AED"/>
    <w:rsid w:val="25D477B7"/>
    <w:rsid w:val="25DA380D"/>
    <w:rsid w:val="25E5129D"/>
    <w:rsid w:val="25F26F30"/>
    <w:rsid w:val="261455E0"/>
    <w:rsid w:val="263E12CD"/>
    <w:rsid w:val="26402C59"/>
    <w:rsid w:val="2641274B"/>
    <w:rsid w:val="264D2B31"/>
    <w:rsid w:val="2652435A"/>
    <w:rsid w:val="267442D0"/>
    <w:rsid w:val="267F2A6D"/>
    <w:rsid w:val="26832765"/>
    <w:rsid w:val="26946721"/>
    <w:rsid w:val="269C0EEC"/>
    <w:rsid w:val="26B151F1"/>
    <w:rsid w:val="26C047BA"/>
    <w:rsid w:val="26EB3E67"/>
    <w:rsid w:val="26F30C12"/>
    <w:rsid w:val="26F64CE5"/>
    <w:rsid w:val="26F9557C"/>
    <w:rsid w:val="27005B64"/>
    <w:rsid w:val="270C69F0"/>
    <w:rsid w:val="270F6015"/>
    <w:rsid w:val="272F1FA5"/>
    <w:rsid w:val="276F2830"/>
    <w:rsid w:val="27856069"/>
    <w:rsid w:val="279F712B"/>
    <w:rsid w:val="27BF5EE3"/>
    <w:rsid w:val="27F95984"/>
    <w:rsid w:val="27FF5E1C"/>
    <w:rsid w:val="280C4AF2"/>
    <w:rsid w:val="2818302A"/>
    <w:rsid w:val="284D0EEA"/>
    <w:rsid w:val="285443B9"/>
    <w:rsid w:val="28854210"/>
    <w:rsid w:val="289447B6"/>
    <w:rsid w:val="28B44E58"/>
    <w:rsid w:val="28BA1D43"/>
    <w:rsid w:val="28EF7C3E"/>
    <w:rsid w:val="29001405"/>
    <w:rsid w:val="2901250C"/>
    <w:rsid w:val="291B6F1D"/>
    <w:rsid w:val="29294FD6"/>
    <w:rsid w:val="29380F4C"/>
    <w:rsid w:val="29437F8A"/>
    <w:rsid w:val="29594382"/>
    <w:rsid w:val="29934A6D"/>
    <w:rsid w:val="29A70519"/>
    <w:rsid w:val="29B24F35"/>
    <w:rsid w:val="29CF7236"/>
    <w:rsid w:val="29D137E8"/>
    <w:rsid w:val="29D46E34"/>
    <w:rsid w:val="29DD3F3B"/>
    <w:rsid w:val="29FA689B"/>
    <w:rsid w:val="2A212D0B"/>
    <w:rsid w:val="2A2C1042"/>
    <w:rsid w:val="2A2D662B"/>
    <w:rsid w:val="2A7B7F8B"/>
    <w:rsid w:val="2A88659C"/>
    <w:rsid w:val="2A995D5F"/>
    <w:rsid w:val="2AB1775D"/>
    <w:rsid w:val="2AD62753"/>
    <w:rsid w:val="2AFB4FC0"/>
    <w:rsid w:val="2AFB6D6E"/>
    <w:rsid w:val="2AFD7973"/>
    <w:rsid w:val="2B023C14"/>
    <w:rsid w:val="2B1D70A7"/>
    <w:rsid w:val="2B2F6A18"/>
    <w:rsid w:val="2B3C7D7B"/>
    <w:rsid w:val="2B4F18C7"/>
    <w:rsid w:val="2B5E17B0"/>
    <w:rsid w:val="2B8D6853"/>
    <w:rsid w:val="2B9A5034"/>
    <w:rsid w:val="2BA74800"/>
    <w:rsid w:val="2BB1477C"/>
    <w:rsid w:val="2BC035D0"/>
    <w:rsid w:val="2BC453B2"/>
    <w:rsid w:val="2BD31A99"/>
    <w:rsid w:val="2BFE0D10"/>
    <w:rsid w:val="2C1D0F66"/>
    <w:rsid w:val="2C464019"/>
    <w:rsid w:val="2C855AF0"/>
    <w:rsid w:val="2C8E3C12"/>
    <w:rsid w:val="2C9E3E8C"/>
    <w:rsid w:val="2C9E6E5F"/>
    <w:rsid w:val="2CB46FB6"/>
    <w:rsid w:val="2CBD243F"/>
    <w:rsid w:val="2CD75DFE"/>
    <w:rsid w:val="2CDE5DA4"/>
    <w:rsid w:val="2CE1789D"/>
    <w:rsid w:val="2CF35668"/>
    <w:rsid w:val="2CF41CC7"/>
    <w:rsid w:val="2D461E73"/>
    <w:rsid w:val="2D7B739E"/>
    <w:rsid w:val="2D8D1530"/>
    <w:rsid w:val="2D8E43BA"/>
    <w:rsid w:val="2D9F1B6C"/>
    <w:rsid w:val="2DCC4341"/>
    <w:rsid w:val="2DD83397"/>
    <w:rsid w:val="2DDB69E3"/>
    <w:rsid w:val="2DE0049D"/>
    <w:rsid w:val="2DFE26D1"/>
    <w:rsid w:val="2E00644A"/>
    <w:rsid w:val="2E1B14D5"/>
    <w:rsid w:val="2E2D19AE"/>
    <w:rsid w:val="2E320FCA"/>
    <w:rsid w:val="2E411018"/>
    <w:rsid w:val="2E500E8C"/>
    <w:rsid w:val="2E627104"/>
    <w:rsid w:val="2E6B7490"/>
    <w:rsid w:val="2EBB343D"/>
    <w:rsid w:val="2EE202FD"/>
    <w:rsid w:val="2F007E4E"/>
    <w:rsid w:val="2F160761"/>
    <w:rsid w:val="2F1D6780"/>
    <w:rsid w:val="2F234AE5"/>
    <w:rsid w:val="2F6A57E5"/>
    <w:rsid w:val="2FBE38FB"/>
    <w:rsid w:val="2FBE3D7D"/>
    <w:rsid w:val="2FD14541"/>
    <w:rsid w:val="300077F6"/>
    <w:rsid w:val="30346B49"/>
    <w:rsid w:val="307B00A5"/>
    <w:rsid w:val="307B44AD"/>
    <w:rsid w:val="309050BA"/>
    <w:rsid w:val="309F2322"/>
    <w:rsid w:val="30A55AD1"/>
    <w:rsid w:val="30AB6B41"/>
    <w:rsid w:val="30C92B76"/>
    <w:rsid w:val="31190BD5"/>
    <w:rsid w:val="3146700D"/>
    <w:rsid w:val="31534D88"/>
    <w:rsid w:val="316D3DF6"/>
    <w:rsid w:val="317E6762"/>
    <w:rsid w:val="318B7E1F"/>
    <w:rsid w:val="318C028E"/>
    <w:rsid w:val="31D200FD"/>
    <w:rsid w:val="31DA59BA"/>
    <w:rsid w:val="31FE6909"/>
    <w:rsid w:val="32195D2C"/>
    <w:rsid w:val="321D7DC4"/>
    <w:rsid w:val="322F554F"/>
    <w:rsid w:val="32580942"/>
    <w:rsid w:val="329655CE"/>
    <w:rsid w:val="329D4BAF"/>
    <w:rsid w:val="32A731D7"/>
    <w:rsid w:val="32F04CDF"/>
    <w:rsid w:val="3304078A"/>
    <w:rsid w:val="330E785B"/>
    <w:rsid w:val="33162E27"/>
    <w:rsid w:val="331D5272"/>
    <w:rsid w:val="33BF6C2C"/>
    <w:rsid w:val="34050C5E"/>
    <w:rsid w:val="34227B8E"/>
    <w:rsid w:val="343E65FD"/>
    <w:rsid w:val="34465A06"/>
    <w:rsid w:val="34525525"/>
    <w:rsid w:val="3460056A"/>
    <w:rsid w:val="34663C68"/>
    <w:rsid w:val="347436ED"/>
    <w:rsid w:val="347656B7"/>
    <w:rsid w:val="3479769E"/>
    <w:rsid w:val="34B85CD0"/>
    <w:rsid w:val="34DF3BC1"/>
    <w:rsid w:val="34E268A9"/>
    <w:rsid w:val="350F4E25"/>
    <w:rsid w:val="35133210"/>
    <w:rsid w:val="35297C4B"/>
    <w:rsid w:val="3598340C"/>
    <w:rsid w:val="359A3628"/>
    <w:rsid w:val="35B12CD6"/>
    <w:rsid w:val="35D224F1"/>
    <w:rsid w:val="35D42696"/>
    <w:rsid w:val="35D5357F"/>
    <w:rsid w:val="35F134B7"/>
    <w:rsid w:val="36050AA1"/>
    <w:rsid w:val="360C36F5"/>
    <w:rsid w:val="360C7F1A"/>
    <w:rsid w:val="361231BE"/>
    <w:rsid w:val="365F5C64"/>
    <w:rsid w:val="36737C9D"/>
    <w:rsid w:val="36747095"/>
    <w:rsid w:val="36806379"/>
    <w:rsid w:val="36881C95"/>
    <w:rsid w:val="368C3081"/>
    <w:rsid w:val="36913C00"/>
    <w:rsid w:val="36985DB9"/>
    <w:rsid w:val="369D517D"/>
    <w:rsid w:val="36B14785"/>
    <w:rsid w:val="36B91A9C"/>
    <w:rsid w:val="36CD6442"/>
    <w:rsid w:val="36E372CE"/>
    <w:rsid w:val="36EE4469"/>
    <w:rsid w:val="36FF120B"/>
    <w:rsid w:val="370233DD"/>
    <w:rsid w:val="370451FC"/>
    <w:rsid w:val="37070849"/>
    <w:rsid w:val="37354710"/>
    <w:rsid w:val="37357164"/>
    <w:rsid w:val="37781658"/>
    <w:rsid w:val="37871B02"/>
    <w:rsid w:val="37941B85"/>
    <w:rsid w:val="37A61B69"/>
    <w:rsid w:val="37B502A5"/>
    <w:rsid w:val="37C7767B"/>
    <w:rsid w:val="37F0110E"/>
    <w:rsid w:val="38156F95"/>
    <w:rsid w:val="384957D1"/>
    <w:rsid w:val="38723B4D"/>
    <w:rsid w:val="387C0FB2"/>
    <w:rsid w:val="388D0542"/>
    <w:rsid w:val="38C357F6"/>
    <w:rsid w:val="38C97C97"/>
    <w:rsid w:val="38D1187F"/>
    <w:rsid w:val="38D974B6"/>
    <w:rsid w:val="38EF5A38"/>
    <w:rsid w:val="38F117B0"/>
    <w:rsid w:val="38FB262F"/>
    <w:rsid w:val="3902751A"/>
    <w:rsid w:val="392C0A3B"/>
    <w:rsid w:val="39392758"/>
    <w:rsid w:val="39663F4D"/>
    <w:rsid w:val="39916AF0"/>
    <w:rsid w:val="39A40612"/>
    <w:rsid w:val="39A44A0F"/>
    <w:rsid w:val="39A907BB"/>
    <w:rsid w:val="39AE142D"/>
    <w:rsid w:val="39B82AB1"/>
    <w:rsid w:val="39E36AD5"/>
    <w:rsid w:val="39F41558"/>
    <w:rsid w:val="39F80D05"/>
    <w:rsid w:val="3A0A0D7C"/>
    <w:rsid w:val="3A1F5EA9"/>
    <w:rsid w:val="3A2058C4"/>
    <w:rsid w:val="3A2F07E2"/>
    <w:rsid w:val="3A30455A"/>
    <w:rsid w:val="3A565C6A"/>
    <w:rsid w:val="3A6B10EF"/>
    <w:rsid w:val="3A80103E"/>
    <w:rsid w:val="3A90046B"/>
    <w:rsid w:val="3AA078C2"/>
    <w:rsid w:val="3ACA4067"/>
    <w:rsid w:val="3ACC0BF2"/>
    <w:rsid w:val="3B275C7A"/>
    <w:rsid w:val="3B5C16AC"/>
    <w:rsid w:val="3B6224F2"/>
    <w:rsid w:val="3B69457E"/>
    <w:rsid w:val="3B7C014A"/>
    <w:rsid w:val="3B9A42C1"/>
    <w:rsid w:val="3BA6230B"/>
    <w:rsid w:val="3BA67210"/>
    <w:rsid w:val="3BAB7A9C"/>
    <w:rsid w:val="3BB22730"/>
    <w:rsid w:val="3BC44F5A"/>
    <w:rsid w:val="3C253FBF"/>
    <w:rsid w:val="3C6D73A0"/>
    <w:rsid w:val="3C6E4417"/>
    <w:rsid w:val="3CB7686D"/>
    <w:rsid w:val="3CBE205D"/>
    <w:rsid w:val="3CD1792F"/>
    <w:rsid w:val="3CD70CBD"/>
    <w:rsid w:val="3CE10F83"/>
    <w:rsid w:val="3CE129AD"/>
    <w:rsid w:val="3D0C4E0B"/>
    <w:rsid w:val="3D163594"/>
    <w:rsid w:val="3D6A1B31"/>
    <w:rsid w:val="3D9C7F8B"/>
    <w:rsid w:val="3DDB1CC3"/>
    <w:rsid w:val="3DDD0555"/>
    <w:rsid w:val="3DEE62BF"/>
    <w:rsid w:val="3E026962"/>
    <w:rsid w:val="3E1B553A"/>
    <w:rsid w:val="3E263CAA"/>
    <w:rsid w:val="3E4F6DBB"/>
    <w:rsid w:val="3E684956"/>
    <w:rsid w:val="3E6C2631"/>
    <w:rsid w:val="3E7D058E"/>
    <w:rsid w:val="3E8135D7"/>
    <w:rsid w:val="3E82313A"/>
    <w:rsid w:val="3E8C7A5C"/>
    <w:rsid w:val="3F1B1335"/>
    <w:rsid w:val="3F2A5EDF"/>
    <w:rsid w:val="3F392A90"/>
    <w:rsid w:val="400B3BB8"/>
    <w:rsid w:val="40152228"/>
    <w:rsid w:val="402E0BAE"/>
    <w:rsid w:val="40480AB6"/>
    <w:rsid w:val="405346BB"/>
    <w:rsid w:val="4092442D"/>
    <w:rsid w:val="40AF2FEF"/>
    <w:rsid w:val="41061B71"/>
    <w:rsid w:val="41270465"/>
    <w:rsid w:val="415B676D"/>
    <w:rsid w:val="41661B50"/>
    <w:rsid w:val="416A2100"/>
    <w:rsid w:val="417B4467"/>
    <w:rsid w:val="419B050B"/>
    <w:rsid w:val="41C27C4B"/>
    <w:rsid w:val="41CC5F06"/>
    <w:rsid w:val="41D63C39"/>
    <w:rsid w:val="42154762"/>
    <w:rsid w:val="42303371"/>
    <w:rsid w:val="424B3CDF"/>
    <w:rsid w:val="424F13D9"/>
    <w:rsid w:val="42D15D94"/>
    <w:rsid w:val="42E934F8"/>
    <w:rsid w:val="42FA3C11"/>
    <w:rsid w:val="42FF290F"/>
    <w:rsid w:val="430033F3"/>
    <w:rsid w:val="431D6EF0"/>
    <w:rsid w:val="43244CFC"/>
    <w:rsid w:val="4330684A"/>
    <w:rsid w:val="433724B6"/>
    <w:rsid w:val="43414AD2"/>
    <w:rsid w:val="435E62C4"/>
    <w:rsid w:val="4360446B"/>
    <w:rsid w:val="43614A2D"/>
    <w:rsid w:val="436C6ADA"/>
    <w:rsid w:val="43860D47"/>
    <w:rsid w:val="438F726E"/>
    <w:rsid w:val="43B236D1"/>
    <w:rsid w:val="43CD2178"/>
    <w:rsid w:val="43D16466"/>
    <w:rsid w:val="44171A76"/>
    <w:rsid w:val="444C4CDD"/>
    <w:rsid w:val="44681191"/>
    <w:rsid w:val="446949D0"/>
    <w:rsid w:val="4475316E"/>
    <w:rsid w:val="44E4666D"/>
    <w:rsid w:val="44E623E5"/>
    <w:rsid w:val="44F04B89"/>
    <w:rsid w:val="44FD328B"/>
    <w:rsid w:val="45097E82"/>
    <w:rsid w:val="45404707"/>
    <w:rsid w:val="454344F4"/>
    <w:rsid w:val="455530C7"/>
    <w:rsid w:val="458B74DA"/>
    <w:rsid w:val="45A90258"/>
    <w:rsid w:val="45BC4EF4"/>
    <w:rsid w:val="45C344D5"/>
    <w:rsid w:val="45D65817"/>
    <w:rsid w:val="462907DC"/>
    <w:rsid w:val="463B050F"/>
    <w:rsid w:val="463B2D60"/>
    <w:rsid w:val="46517FBE"/>
    <w:rsid w:val="465E1531"/>
    <w:rsid w:val="46796008"/>
    <w:rsid w:val="468772B0"/>
    <w:rsid w:val="469F284C"/>
    <w:rsid w:val="470E0D25"/>
    <w:rsid w:val="47405F7B"/>
    <w:rsid w:val="474B35EF"/>
    <w:rsid w:val="476B77EB"/>
    <w:rsid w:val="47952EC7"/>
    <w:rsid w:val="47BE20A0"/>
    <w:rsid w:val="47CF0F0F"/>
    <w:rsid w:val="47E30E5E"/>
    <w:rsid w:val="48132B23"/>
    <w:rsid w:val="48234D54"/>
    <w:rsid w:val="48454F0F"/>
    <w:rsid w:val="485011E6"/>
    <w:rsid w:val="48BE0AA9"/>
    <w:rsid w:val="48C86ACF"/>
    <w:rsid w:val="48D30603"/>
    <w:rsid w:val="490B4B7C"/>
    <w:rsid w:val="492D2391"/>
    <w:rsid w:val="49350F59"/>
    <w:rsid w:val="4968786D"/>
    <w:rsid w:val="4977179A"/>
    <w:rsid w:val="499440D3"/>
    <w:rsid w:val="49957F36"/>
    <w:rsid w:val="49AF0FF8"/>
    <w:rsid w:val="49D97E23"/>
    <w:rsid w:val="49EB5DA8"/>
    <w:rsid w:val="4A1A5872"/>
    <w:rsid w:val="4A1B293E"/>
    <w:rsid w:val="4A5B2F2E"/>
    <w:rsid w:val="4AAD7B6F"/>
    <w:rsid w:val="4ABD72D7"/>
    <w:rsid w:val="4ABE6703"/>
    <w:rsid w:val="4AC26B09"/>
    <w:rsid w:val="4B3043BA"/>
    <w:rsid w:val="4B412124"/>
    <w:rsid w:val="4B507A54"/>
    <w:rsid w:val="4B655779"/>
    <w:rsid w:val="4B8502D3"/>
    <w:rsid w:val="4B9009B5"/>
    <w:rsid w:val="4B983E2F"/>
    <w:rsid w:val="4BA34617"/>
    <w:rsid w:val="4BA8295A"/>
    <w:rsid w:val="4BB02A99"/>
    <w:rsid w:val="4BCF3BD3"/>
    <w:rsid w:val="4BD07D1F"/>
    <w:rsid w:val="4C37005E"/>
    <w:rsid w:val="4C3A2790"/>
    <w:rsid w:val="4C3D6D8F"/>
    <w:rsid w:val="4C614B55"/>
    <w:rsid w:val="4C867FF6"/>
    <w:rsid w:val="4C875384"/>
    <w:rsid w:val="4C9E5354"/>
    <w:rsid w:val="4CD93524"/>
    <w:rsid w:val="4CDE7678"/>
    <w:rsid w:val="4CE152E0"/>
    <w:rsid w:val="4CF53645"/>
    <w:rsid w:val="4D0704C2"/>
    <w:rsid w:val="4D4C3002"/>
    <w:rsid w:val="4D4C4E36"/>
    <w:rsid w:val="4D76420B"/>
    <w:rsid w:val="4DC64B62"/>
    <w:rsid w:val="4DCD7C9F"/>
    <w:rsid w:val="4DEA5552"/>
    <w:rsid w:val="4E0258F4"/>
    <w:rsid w:val="4E2F6BAB"/>
    <w:rsid w:val="4E324292"/>
    <w:rsid w:val="4E713C33"/>
    <w:rsid w:val="4EA162D3"/>
    <w:rsid w:val="4EB903B7"/>
    <w:rsid w:val="4ED908C5"/>
    <w:rsid w:val="4EEE303D"/>
    <w:rsid w:val="4EF45211"/>
    <w:rsid w:val="4F2F7136"/>
    <w:rsid w:val="4F375FBA"/>
    <w:rsid w:val="4F3D2C02"/>
    <w:rsid w:val="4F3F4BCC"/>
    <w:rsid w:val="4F416B96"/>
    <w:rsid w:val="4F6D0248"/>
    <w:rsid w:val="4F714FA1"/>
    <w:rsid w:val="4FA369C4"/>
    <w:rsid w:val="4FB20DDA"/>
    <w:rsid w:val="4FD41EF5"/>
    <w:rsid w:val="4FED4628"/>
    <w:rsid w:val="4FF018A3"/>
    <w:rsid w:val="4FF92962"/>
    <w:rsid w:val="500A3AFD"/>
    <w:rsid w:val="500B7ABF"/>
    <w:rsid w:val="501F67AB"/>
    <w:rsid w:val="50364ADB"/>
    <w:rsid w:val="503E578B"/>
    <w:rsid w:val="50486E88"/>
    <w:rsid w:val="506753FE"/>
    <w:rsid w:val="50935A59"/>
    <w:rsid w:val="50D17AA6"/>
    <w:rsid w:val="50D336CD"/>
    <w:rsid w:val="50D62FEC"/>
    <w:rsid w:val="50D80AAC"/>
    <w:rsid w:val="50E61077"/>
    <w:rsid w:val="50EC2B32"/>
    <w:rsid w:val="50F11EF6"/>
    <w:rsid w:val="510559A1"/>
    <w:rsid w:val="51167BAE"/>
    <w:rsid w:val="515619E4"/>
    <w:rsid w:val="51597131"/>
    <w:rsid w:val="518728C9"/>
    <w:rsid w:val="51981AB2"/>
    <w:rsid w:val="519A07DF"/>
    <w:rsid w:val="51A4666B"/>
    <w:rsid w:val="51C94C21"/>
    <w:rsid w:val="51E97071"/>
    <w:rsid w:val="51FE6FD2"/>
    <w:rsid w:val="5207171D"/>
    <w:rsid w:val="52074884"/>
    <w:rsid w:val="522824AD"/>
    <w:rsid w:val="525149B6"/>
    <w:rsid w:val="525F49C1"/>
    <w:rsid w:val="526E5393"/>
    <w:rsid w:val="5277467D"/>
    <w:rsid w:val="527B1CC8"/>
    <w:rsid w:val="529C7C16"/>
    <w:rsid w:val="52A678EC"/>
    <w:rsid w:val="52CA29FF"/>
    <w:rsid w:val="52DE46FC"/>
    <w:rsid w:val="52E157AD"/>
    <w:rsid w:val="52FA0592"/>
    <w:rsid w:val="530E1EA0"/>
    <w:rsid w:val="532F53EB"/>
    <w:rsid w:val="53654E1D"/>
    <w:rsid w:val="536A6732"/>
    <w:rsid w:val="536F5DEA"/>
    <w:rsid w:val="537B63EF"/>
    <w:rsid w:val="537F13AA"/>
    <w:rsid w:val="53944828"/>
    <w:rsid w:val="53954BFA"/>
    <w:rsid w:val="53A166F7"/>
    <w:rsid w:val="53D64DC8"/>
    <w:rsid w:val="53F0156C"/>
    <w:rsid w:val="54232893"/>
    <w:rsid w:val="542520B4"/>
    <w:rsid w:val="54295E4B"/>
    <w:rsid w:val="544D2950"/>
    <w:rsid w:val="54635827"/>
    <w:rsid w:val="548117E3"/>
    <w:rsid w:val="54926CF3"/>
    <w:rsid w:val="54D219EB"/>
    <w:rsid w:val="54D50CF2"/>
    <w:rsid w:val="54DA0EF3"/>
    <w:rsid w:val="54E64073"/>
    <w:rsid w:val="5527126F"/>
    <w:rsid w:val="5531145B"/>
    <w:rsid w:val="55412874"/>
    <w:rsid w:val="557161B6"/>
    <w:rsid w:val="5591546E"/>
    <w:rsid w:val="55BB0D24"/>
    <w:rsid w:val="55D37CB7"/>
    <w:rsid w:val="55E22E31"/>
    <w:rsid w:val="563F0F19"/>
    <w:rsid w:val="564B41C5"/>
    <w:rsid w:val="565076BF"/>
    <w:rsid w:val="56A82327"/>
    <w:rsid w:val="56D940AC"/>
    <w:rsid w:val="56F00EA2"/>
    <w:rsid w:val="56F373A5"/>
    <w:rsid w:val="572B2CF6"/>
    <w:rsid w:val="573211EC"/>
    <w:rsid w:val="575F22C1"/>
    <w:rsid w:val="57697263"/>
    <w:rsid w:val="57790714"/>
    <w:rsid w:val="57CD5FFC"/>
    <w:rsid w:val="58153E27"/>
    <w:rsid w:val="581F3214"/>
    <w:rsid w:val="582167E3"/>
    <w:rsid w:val="582B2890"/>
    <w:rsid w:val="585F02E8"/>
    <w:rsid w:val="58605CEB"/>
    <w:rsid w:val="586B4C84"/>
    <w:rsid w:val="58AE2456"/>
    <w:rsid w:val="58C2560D"/>
    <w:rsid w:val="58CB74D0"/>
    <w:rsid w:val="58FE544F"/>
    <w:rsid w:val="59252AF8"/>
    <w:rsid w:val="592B4413"/>
    <w:rsid w:val="594C6483"/>
    <w:rsid w:val="5974347E"/>
    <w:rsid w:val="59977F0A"/>
    <w:rsid w:val="59A935D6"/>
    <w:rsid w:val="59DB3743"/>
    <w:rsid w:val="59DD3060"/>
    <w:rsid w:val="5A144EA7"/>
    <w:rsid w:val="5A5363AA"/>
    <w:rsid w:val="5A60573D"/>
    <w:rsid w:val="5A95141D"/>
    <w:rsid w:val="5AAC6C57"/>
    <w:rsid w:val="5AB11EBA"/>
    <w:rsid w:val="5AE813BF"/>
    <w:rsid w:val="5AEC0610"/>
    <w:rsid w:val="5AF745AD"/>
    <w:rsid w:val="5AFC1BC3"/>
    <w:rsid w:val="5B3E172D"/>
    <w:rsid w:val="5B460DF6"/>
    <w:rsid w:val="5B547C51"/>
    <w:rsid w:val="5B7875D0"/>
    <w:rsid w:val="5B95084F"/>
    <w:rsid w:val="5BC711CD"/>
    <w:rsid w:val="5BC916B8"/>
    <w:rsid w:val="5BDC19F5"/>
    <w:rsid w:val="5C1417AE"/>
    <w:rsid w:val="5C1A18C6"/>
    <w:rsid w:val="5C202AC3"/>
    <w:rsid w:val="5C4B1995"/>
    <w:rsid w:val="5CB102F4"/>
    <w:rsid w:val="5CC31A9C"/>
    <w:rsid w:val="5CD90E12"/>
    <w:rsid w:val="5CEB78DD"/>
    <w:rsid w:val="5CEC546A"/>
    <w:rsid w:val="5D0B5CA1"/>
    <w:rsid w:val="5D0B67E3"/>
    <w:rsid w:val="5D0D2595"/>
    <w:rsid w:val="5D10375B"/>
    <w:rsid w:val="5D7F5595"/>
    <w:rsid w:val="5D852344"/>
    <w:rsid w:val="5DC10985"/>
    <w:rsid w:val="5DF64FF0"/>
    <w:rsid w:val="5E070FAB"/>
    <w:rsid w:val="5E0D40E7"/>
    <w:rsid w:val="5E311551"/>
    <w:rsid w:val="5E4F4700"/>
    <w:rsid w:val="5E51181A"/>
    <w:rsid w:val="5E57642F"/>
    <w:rsid w:val="5E5D506F"/>
    <w:rsid w:val="5E7D301B"/>
    <w:rsid w:val="5E882C74"/>
    <w:rsid w:val="5F253AA4"/>
    <w:rsid w:val="5F2B2A77"/>
    <w:rsid w:val="5F44063F"/>
    <w:rsid w:val="5F5244A8"/>
    <w:rsid w:val="5F611066"/>
    <w:rsid w:val="5F6E059E"/>
    <w:rsid w:val="5F8605F5"/>
    <w:rsid w:val="5FA10F8B"/>
    <w:rsid w:val="5FB4245C"/>
    <w:rsid w:val="5FBA6849"/>
    <w:rsid w:val="5FDC6467"/>
    <w:rsid w:val="5FE5531C"/>
    <w:rsid w:val="600A2FD4"/>
    <w:rsid w:val="600B70C2"/>
    <w:rsid w:val="600D4872"/>
    <w:rsid w:val="601A7520"/>
    <w:rsid w:val="6020473B"/>
    <w:rsid w:val="6046525D"/>
    <w:rsid w:val="605204D7"/>
    <w:rsid w:val="60560FD6"/>
    <w:rsid w:val="605A3E0C"/>
    <w:rsid w:val="6074044E"/>
    <w:rsid w:val="60836580"/>
    <w:rsid w:val="60A96349"/>
    <w:rsid w:val="60BB259D"/>
    <w:rsid w:val="60D11D86"/>
    <w:rsid w:val="60D929F6"/>
    <w:rsid w:val="60DB00DE"/>
    <w:rsid w:val="60DB227B"/>
    <w:rsid w:val="60EA5523"/>
    <w:rsid w:val="60F75A74"/>
    <w:rsid w:val="60F808B6"/>
    <w:rsid w:val="615D65A7"/>
    <w:rsid w:val="61785D1C"/>
    <w:rsid w:val="61975E5C"/>
    <w:rsid w:val="61B700B9"/>
    <w:rsid w:val="61E17D65"/>
    <w:rsid w:val="6220493E"/>
    <w:rsid w:val="623E436A"/>
    <w:rsid w:val="624D71A8"/>
    <w:rsid w:val="628C5F22"/>
    <w:rsid w:val="62913539"/>
    <w:rsid w:val="62944560"/>
    <w:rsid w:val="62DD530F"/>
    <w:rsid w:val="62F26841"/>
    <w:rsid w:val="62FC713F"/>
    <w:rsid w:val="6359755E"/>
    <w:rsid w:val="63CE4319"/>
    <w:rsid w:val="63D07A65"/>
    <w:rsid w:val="6401024A"/>
    <w:rsid w:val="641A130C"/>
    <w:rsid w:val="64460353"/>
    <w:rsid w:val="645940E5"/>
    <w:rsid w:val="645A13FF"/>
    <w:rsid w:val="64654C7D"/>
    <w:rsid w:val="646D3B32"/>
    <w:rsid w:val="64B82FFF"/>
    <w:rsid w:val="64E21E2A"/>
    <w:rsid w:val="64E531E7"/>
    <w:rsid w:val="64FC76AB"/>
    <w:rsid w:val="65075D34"/>
    <w:rsid w:val="65165AD9"/>
    <w:rsid w:val="65167D25"/>
    <w:rsid w:val="654F4FE5"/>
    <w:rsid w:val="6558033E"/>
    <w:rsid w:val="65731FD5"/>
    <w:rsid w:val="658A426F"/>
    <w:rsid w:val="659D21F5"/>
    <w:rsid w:val="65A6294C"/>
    <w:rsid w:val="65B45155"/>
    <w:rsid w:val="660E4EA0"/>
    <w:rsid w:val="66236B9E"/>
    <w:rsid w:val="666C0132"/>
    <w:rsid w:val="668931DD"/>
    <w:rsid w:val="66BC445B"/>
    <w:rsid w:val="671771D2"/>
    <w:rsid w:val="672C55DE"/>
    <w:rsid w:val="6768276C"/>
    <w:rsid w:val="676A25AA"/>
    <w:rsid w:val="676D4140"/>
    <w:rsid w:val="67EF3899"/>
    <w:rsid w:val="67FD51CC"/>
    <w:rsid w:val="68052C24"/>
    <w:rsid w:val="68071BA7"/>
    <w:rsid w:val="681A6E39"/>
    <w:rsid w:val="682664D1"/>
    <w:rsid w:val="682F128C"/>
    <w:rsid w:val="683710B9"/>
    <w:rsid w:val="684150B9"/>
    <w:rsid w:val="6844683D"/>
    <w:rsid w:val="686B0388"/>
    <w:rsid w:val="68863307"/>
    <w:rsid w:val="68947034"/>
    <w:rsid w:val="68AD274F"/>
    <w:rsid w:val="68CA6123"/>
    <w:rsid w:val="68F20DCF"/>
    <w:rsid w:val="690949A6"/>
    <w:rsid w:val="691B1DAE"/>
    <w:rsid w:val="6931512E"/>
    <w:rsid w:val="69482236"/>
    <w:rsid w:val="695928D6"/>
    <w:rsid w:val="69671F44"/>
    <w:rsid w:val="69696A17"/>
    <w:rsid w:val="6976722C"/>
    <w:rsid w:val="699D6C67"/>
    <w:rsid w:val="699F29DF"/>
    <w:rsid w:val="69A23398"/>
    <w:rsid w:val="69BA5E77"/>
    <w:rsid w:val="6A134093"/>
    <w:rsid w:val="6A2A69C0"/>
    <w:rsid w:val="6A312CE8"/>
    <w:rsid w:val="6A434136"/>
    <w:rsid w:val="6A4B66C3"/>
    <w:rsid w:val="6A813028"/>
    <w:rsid w:val="6A837C0B"/>
    <w:rsid w:val="6A8939E7"/>
    <w:rsid w:val="6A8A71EB"/>
    <w:rsid w:val="6A8C27E5"/>
    <w:rsid w:val="6AAC39AD"/>
    <w:rsid w:val="6AB80C1D"/>
    <w:rsid w:val="6AC65D4A"/>
    <w:rsid w:val="6B120F8F"/>
    <w:rsid w:val="6B2A4FC2"/>
    <w:rsid w:val="6B3031BA"/>
    <w:rsid w:val="6B614FFE"/>
    <w:rsid w:val="6B655563"/>
    <w:rsid w:val="6B702B40"/>
    <w:rsid w:val="6B9805DE"/>
    <w:rsid w:val="6B9A0E1C"/>
    <w:rsid w:val="6BC7590F"/>
    <w:rsid w:val="6BCD17AC"/>
    <w:rsid w:val="6BCE4EB6"/>
    <w:rsid w:val="6BE17570"/>
    <w:rsid w:val="6BE23594"/>
    <w:rsid w:val="6BE9178F"/>
    <w:rsid w:val="6C427652"/>
    <w:rsid w:val="6C4B4758"/>
    <w:rsid w:val="6C761EB5"/>
    <w:rsid w:val="6C9465AB"/>
    <w:rsid w:val="6CB165EA"/>
    <w:rsid w:val="6CD02EB0"/>
    <w:rsid w:val="6CE40709"/>
    <w:rsid w:val="6D1650C8"/>
    <w:rsid w:val="6D1C2054"/>
    <w:rsid w:val="6D2148C0"/>
    <w:rsid w:val="6D632D51"/>
    <w:rsid w:val="6D716B8E"/>
    <w:rsid w:val="6D9F30E5"/>
    <w:rsid w:val="6DBE1011"/>
    <w:rsid w:val="6E1119D2"/>
    <w:rsid w:val="6E301E58"/>
    <w:rsid w:val="6E5A552D"/>
    <w:rsid w:val="6E8126B3"/>
    <w:rsid w:val="6E9F01EE"/>
    <w:rsid w:val="6EA90CA7"/>
    <w:rsid w:val="6EBE3907"/>
    <w:rsid w:val="6ECC76A7"/>
    <w:rsid w:val="6EE20AC1"/>
    <w:rsid w:val="6EE561D5"/>
    <w:rsid w:val="6EF1296B"/>
    <w:rsid w:val="6EF65EA3"/>
    <w:rsid w:val="6F263B0D"/>
    <w:rsid w:val="6F315449"/>
    <w:rsid w:val="6F50306D"/>
    <w:rsid w:val="6F5613DE"/>
    <w:rsid w:val="6F795A80"/>
    <w:rsid w:val="6F927F6F"/>
    <w:rsid w:val="6FB40867"/>
    <w:rsid w:val="6FC76196"/>
    <w:rsid w:val="6FDD600F"/>
    <w:rsid w:val="70311EB7"/>
    <w:rsid w:val="704936A5"/>
    <w:rsid w:val="704E526A"/>
    <w:rsid w:val="709F6C04"/>
    <w:rsid w:val="70B35196"/>
    <w:rsid w:val="70F8201F"/>
    <w:rsid w:val="711C6DF5"/>
    <w:rsid w:val="71401EF6"/>
    <w:rsid w:val="716D5171"/>
    <w:rsid w:val="717660F9"/>
    <w:rsid w:val="7190079B"/>
    <w:rsid w:val="71950224"/>
    <w:rsid w:val="71B72890"/>
    <w:rsid w:val="720714EC"/>
    <w:rsid w:val="720729D6"/>
    <w:rsid w:val="72094816"/>
    <w:rsid w:val="720E08E4"/>
    <w:rsid w:val="723175C0"/>
    <w:rsid w:val="723E08BB"/>
    <w:rsid w:val="72447137"/>
    <w:rsid w:val="72516841"/>
    <w:rsid w:val="72525C26"/>
    <w:rsid w:val="72964650"/>
    <w:rsid w:val="72967C02"/>
    <w:rsid w:val="72A146DD"/>
    <w:rsid w:val="72D6565A"/>
    <w:rsid w:val="72DC0802"/>
    <w:rsid w:val="72ED60E9"/>
    <w:rsid w:val="72FB0ADD"/>
    <w:rsid w:val="733046A8"/>
    <w:rsid w:val="73495DA7"/>
    <w:rsid w:val="734D1E83"/>
    <w:rsid w:val="735A7977"/>
    <w:rsid w:val="73922AE9"/>
    <w:rsid w:val="739B2E16"/>
    <w:rsid w:val="73BB6668"/>
    <w:rsid w:val="73D6524F"/>
    <w:rsid w:val="73F92CEC"/>
    <w:rsid w:val="74253AE1"/>
    <w:rsid w:val="743957DE"/>
    <w:rsid w:val="74605923"/>
    <w:rsid w:val="74634609"/>
    <w:rsid w:val="74650381"/>
    <w:rsid w:val="74793B00"/>
    <w:rsid w:val="74B337DB"/>
    <w:rsid w:val="74C7238F"/>
    <w:rsid w:val="74D62E7E"/>
    <w:rsid w:val="74DA2B1D"/>
    <w:rsid w:val="74E41BEE"/>
    <w:rsid w:val="74F31E31"/>
    <w:rsid w:val="74FD680C"/>
    <w:rsid w:val="74FF4332"/>
    <w:rsid w:val="75222AFB"/>
    <w:rsid w:val="75271ADB"/>
    <w:rsid w:val="7530098F"/>
    <w:rsid w:val="75374E99"/>
    <w:rsid w:val="755C1784"/>
    <w:rsid w:val="755F2879"/>
    <w:rsid w:val="75720FA8"/>
    <w:rsid w:val="757D16FB"/>
    <w:rsid w:val="757D560A"/>
    <w:rsid w:val="75830402"/>
    <w:rsid w:val="75876BB5"/>
    <w:rsid w:val="7589009F"/>
    <w:rsid w:val="759500C9"/>
    <w:rsid w:val="75AF5D58"/>
    <w:rsid w:val="75B63013"/>
    <w:rsid w:val="75E1612D"/>
    <w:rsid w:val="760C0018"/>
    <w:rsid w:val="76165CB9"/>
    <w:rsid w:val="765813B0"/>
    <w:rsid w:val="76634D94"/>
    <w:rsid w:val="76643E67"/>
    <w:rsid w:val="768C34D1"/>
    <w:rsid w:val="76AD7DBE"/>
    <w:rsid w:val="76B02BAB"/>
    <w:rsid w:val="76B46613"/>
    <w:rsid w:val="76C06A88"/>
    <w:rsid w:val="76C704DD"/>
    <w:rsid w:val="76E41324"/>
    <w:rsid w:val="76FB0519"/>
    <w:rsid w:val="770F6258"/>
    <w:rsid w:val="772916DE"/>
    <w:rsid w:val="772C33D8"/>
    <w:rsid w:val="773C7ABF"/>
    <w:rsid w:val="773E5B96"/>
    <w:rsid w:val="775F555C"/>
    <w:rsid w:val="777A53EC"/>
    <w:rsid w:val="77925931"/>
    <w:rsid w:val="779A3139"/>
    <w:rsid w:val="77A25449"/>
    <w:rsid w:val="77A80CB1"/>
    <w:rsid w:val="77C13038"/>
    <w:rsid w:val="78200FA9"/>
    <w:rsid w:val="782567A5"/>
    <w:rsid w:val="7833733B"/>
    <w:rsid w:val="78356725"/>
    <w:rsid w:val="783972DA"/>
    <w:rsid w:val="7840538D"/>
    <w:rsid w:val="788B386D"/>
    <w:rsid w:val="78AA2807"/>
    <w:rsid w:val="78D15FE5"/>
    <w:rsid w:val="78DB3C1A"/>
    <w:rsid w:val="790D5E89"/>
    <w:rsid w:val="79112886"/>
    <w:rsid w:val="7916528D"/>
    <w:rsid w:val="791B1956"/>
    <w:rsid w:val="79221660"/>
    <w:rsid w:val="792E3438"/>
    <w:rsid w:val="7943480C"/>
    <w:rsid w:val="796330C3"/>
    <w:rsid w:val="797D43BF"/>
    <w:rsid w:val="79875674"/>
    <w:rsid w:val="79980DB0"/>
    <w:rsid w:val="79A8143C"/>
    <w:rsid w:val="79AA0161"/>
    <w:rsid w:val="79C92D25"/>
    <w:rsid w:val="79E955B1"/>
    <w:rsid w:val="79F70984"/>
    <w:rsid w:val="7A410F49"/>
    <w:rsid w:val="7A41712D"/>
    <w:rsid w:val="7A6A7163"/>
    <w:rsid w:val="7A833E42"/>
    <w:rsid w:val="7A9119B9"/>
    <w:rsid w:val="7A9B73B4"/>
    <w:rsid w:val="7AC141C7"/>
    <w:rsid w:val="7AE21895"/>
    <w:rsid w:val="7B44296A"/>
    <w:rsid w:val="7B6252A1"/>
    <w:rsid w:val="7B877FE0"/>
    <w:rsid w:val="7B914152"/>
    <w:rsid w:val="7BB265A2"/>
    <w:rsid w:val="7BB62C28"/>
    <w:rsid w:val="7BC40083"/>
    <w:rsid w:val="7BCE2CB0"/>
    <w:rsid w:val="7BD07482"/>
    <w:rsid w:val="7BE73D72"/>
    <w:rsid w:val="7BEE5100"/>
    <w:rsid w:val="7C084414"/>
    <w:rsid w:val="7C2D7F6D"/>
    <w:rsid w:val="7C3C67E8"/>
    <w:rsid w:val="7C5036C5"/>
    <w:rsid w:val="7C792BDC"/>
    <w:rsid w:val="7C8810B1"/>
    <w:rsid w:val="7C934A1B"/>
    <w:rsid w:val="7C9540DD"/>
    <w:rsid w:val="7C9A0DE4"/>
    <w:rsid w:val="7CA74541"/>
    <w:rsid w:val="7CAB4D9F"/>
    <w:rsid w:val="7CB65C1E"/>
    <w:rsid w:val="7CB71996"/>
    <w:rsid w:val="7CE1381B"/>
    <w:rsid w:val="7CED53B8"/>
    <w:rsid w:val="7CF91FAF"/>
    <w:rsid w:val="7D007C96"/>
    <w:rsid w:val="7D0F532E"/>
    <w:rsid w:val="7D146DE8"/>
    <w:rsid w:val="7D1868D9"/>
    <w:rsid w:val="7D2222EA"/>
    <w:rsid w:val="7D4274B2"/>
    <w:rsid w:val="7D4E40A8"/>
    <w:rsid w:val="7D590631"/>
    <w:rsid w:val="7D5D77D2"/>
    <w:rsid w:val="7D661EBB"/>
    <w:rsid w:val="7D6E0471"/>
    <w:rsid w:val="7D7C14EE"/>
    <w:rsid w:val="7D851A94"/>
    <w:rsid w:val="7D89316F"/>
    <w:rsid w:val="7D911F35"/>
    <w:rsid w:val="7DA90C8D"/>
    <w:rsid w:val="7DAC0DCF"/>
    <w:rsid w:val="7DB52379"/>
    <w:rsid w:val="7DC322D2"/>
    <w:rsid w:val="7DCE6F97"/>
    <w:rsid w:val="7E066731"/>
    <w:rsid w:val="7E3E411D"/>
    <w:rsid w:val="7E4234E1"/>
    <w:rsid w:val="7E436FCF"/>
    <w:rsid w:val="7E694F12"/>
    <w:rsid w:val="7E69680B"/>
    <w:rsid w:val="7E6B1D6B"/>
    <w:rsid w:val="7E707DA2"/>
    <w:rsid w:val="7ECD1ACE"/>
    <w:rsid w:val="7EEA109B"/>
    <w:rsid w:val="7F2B4D45"/>
    <w:rsid w:val="7F6A7194"/>
    <w:rsid w:val="7F7F1556"/>
    <w:rsid w:val="7F8A27B3"/>
    <w:rsid w:val="7FA0099E"/>
    <w:rsid w:val="7FE70C28"/>
    <w:rsid w:val="7FF10C14"/>
    <w:rsid w:val="7FF567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ind w:left="1843"/>
      <w:outlineLvl w:val="1"/>
    </w:pPr>
    <w:rPr>
      <w:rFonts w:ascii="Times New Roman" w:hAnsi="Times New Roman" w:eastAsia="Times New Roman" w:cs="Times New Roman"/>
      <w:b/>
      <w:bCs/>
      <w:sz w:val="21"/>
      <w:szCs w:val="21"/>
    </w:rPr>
  </w:style>
  <w:style w:type="character" w:default="1" w:styleId="35">
    <w:name w:val="Default Paragraph Font"/>
    <w:semiHidden/>
    <w:qFormat/>
    <w:uiPriority w:val="0"/>
  </w:style>
  <w:style w:type="table" w:default="1" w:styleId="3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qFormat/>
    <w:uiPriority w:val="1"/>
    <w:rPr>
      <w:sz w:val="21"/>
      <w:szCs w:val="21"/>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3"/>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Strong"/>
    <w:basedOn w:val="35"/>
    <w:qFormat/>
    <w:uiPriority w:val="0"/>
    <w:rPr>
      <w:b/>
    </w:r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Hyperlink"/>
    <w:qFormat/>
    <w:uiPriority w:val="0"/>
    <w:rPr>
      <w:color w:val="0000FF"/>
      <w:spacing w:val="0"/>
      <w:w w:val="100"/>
      <w:szCs w:val="21"/>
      <w:u w:val="single"/>
    </w:rPr>
  </w:style>
  <w:style w:type="character" w:styleId="41">
    <w:name w:val="annotation reference"/>
    <w:semiHidden/>
    <w:qFormat/>
    <w:uiPriority w:val="0"/>
    <w:rPr>
      <w:sz w:val="21"/>
      <w:szCs w:val="21"/>
    </w:rPr>
  </w:style>
  <w:style w:type="character" w:styleId="42">
    <w:name w:val="footnote reference"/>
    <w:semiHidden/>
    <w:qFormat/>
    <w:uiPriority w:val="0"/>
    <w:rPr>
      <w:vertAlign w:val="superscript"/>
    </w:rPr>
  </w:style>
  <w:style w:type="character" w:customStyle="1" w:styleId="43">
    <w:name w:val="批注框文本 Char"/>
    <w:link w:val="17"/>
    <w:qFormat/>
    <w:uiPriority w:val="0"/>
    <w:rPr>
      <w:kern w:val="2"/>
      <w:sz w:val="18"/>
      <w:szCs w:val="18"/>
    </w:rPr>
  </w:style>
  <w:style w:type="character" w:customStyle="1" w:styleId="44">
    <w:name w:val="段 Char"/>
    <w:link w:val="24"/>
    <w:qFormat/>
    <w:uiPriority w:val="0"/>
    <w:rPr>
      <w:rFonts w:ascii="宋体"/>
      <w:sz w:val="21"/>
      <w:lang w:val="en-US" w:eastAsia="zh-CN" w:bidi="ar-SA"/>
    </w:rPr>
  </w:style>
  <w:style w:type="character" w:customStyle="1" w:styleId="45">
    <w:name w:val="发布"/>
    <w:qFormat/>
    <w:uiPriority w:val="0"/>
    <w:rPr>
      <w:rFonts w:ascii="黑体" w:eastAsia="黑体"/>
      <w:spacing w:val="85"/>
      <w:w w:val="100"/>
      <w:position w:val="3"/>
      <w:sz w:val="28"/>
      <w:szCs w:val="28"/>
    </w:rPr>
  </w:style>
  <w:style w:type="character" w:customStyle="1" w:styleId="46">
    <w:name w:val="附录公式 Char"/>
    <w:link w:val="47"/>
    <w:qFormat/>
    <w:uiPriority w:val="0"/>
    <w:rPr>
      <w:lang w:val="en-US" w:eastAsia="zh-CN" w:bidi="ar-SA"/>
    </w:rPr>
  </w:style>
  <w:style w:type="paragraph" w:customStyle="1" w:styleId="47">
    <w:name w:val="附录公式"/>
    <w:basedOn w:val="24"/>
    <w:next w:val="24"/>
    <w:link w:val="46"/>
    <w:qFormat/>
    <w:uiPriority w:val="0"/>
  </w:style>
  <w:style w:type="character" w:customStyle="1" w:styleId="48">
    <w:name w:val="章标题 Char"/>
    <w:link w:val="49"/>
    <w:qFormat/>
    <w:uiPriority w:val="0"/>
    <w:rPr>
      <w:rFonts w:ascii="黑体" w:eastAsia="黑体"/>
      <w:sz w:val="21"/>
      <w:lang w:val="en-US" w:eastAsia="zh-CN" w:bidi="ar-SA"/>
    </w:rPr>
  </w:style>
  <w:style w:type="paragraph" w:customStyle="1" w:styleId="49">
    <w:name w:val="章标题"/>
    <w:next w:val="24"/>
    <w:link w:val="48"/>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50">
    <w:name w:val="首示例 Char"/>
    <w:link w:val="51"/>
    <w:qFormat/>
    <w:uiPriority w:val="0"/>
    <w:rPr>
      <w:rFonts w:ascii="宋体" w:hAnsi="宋体"/>
      <w:kern w:val="2"/>
      <w:sz w:val="18"/>
      <w:szCs w:val="18"/>
      <w:lang w:val="en-US" w:eastAsia="zh-CN" w:bidi="ar-SA"/>
    </w:rPr>
  </w:style>
  <w:style w:type="paragraph" w:customStyle="1" w:styleId="51">
    <w:name w:val="首示例"/>
    <w:next w:val="24"/>
    <w:link w:val="50"/>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图标脚注说明"/>
    <w:basedOn w:val="24"/>
    <w:qFormat/>
    <w:uiPriority w:val="0"/>
    <w:pPr>
      <w:ind w:left="840" w:hanging="420" w:firstLineChars="0"/>
    </w:pPr>
    <w:rPr>
      <w:sz w:val="18"/>
      <w:szCs w:val="18"/>
    </w:rPr>
  </w:style>
  <w:style w:type="paragraph" w:customStyle="1" w:styleId="55">
    <w:name w:val="封面一致性程度标识"/>
    <w:basedOn w:val="56"/>
    <w:qFormat/>
    <w:uiPriority w:val="0"/>
    <w:pPr>
      <w:spacing w:before="440"/>
    </w:pPr>
    <w:rPr>
      <w:rFonts w:ascii="宋体" w:eastAsia="宋体"/>
    </w:rPr>
  </w:style>
  <w:style w:type="paragraph" w:customStyle="1" w:styleId="56">
    <w:name w:val="封面标准英文名称"/>
    <w:basedOn w:val="57"/>
    <w:qFormat/>
    <w:uiPriority w:val="0"/>
    <w:pPr>
      <w:spacing w:before="370" w:line="400" w:lineRule="exact"/>
    </w:pPr>
    <w:rPr>
      <w:rFonts w:ascii="Times New Roman"/>
      <w:sz w:val="28"/>
      <w:szCs w:val="28"/>
    </w:rPr>
  </w:style>
  <w:style w:type="paragraph" w:customStyle="1" w:styleId="5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8">
    <w:name w:val="附录五级条标题"/>
    <w:basedOn w:val="59"/>
    <w:next w:val="24"/>
    <w:qFormat/>
    <w:uiPriority w:val="0"/>
    <w:pPr>
      <w:numPr>
        <w:ilvl w:val="6"/>
        <w:numId w:val="5"/>
      </w:numPr>
      <w:tabs>
        <w:tab w:val="left" w:pos="360"/>
      </w:tabs>
      <w:outlineLvl w:val="6"/>
    </w:pPr>
  </w:style>
  <w:style w:type="paragraph" w:customStyle="1" w:styleId="59">
    <w:name w:val="附录四级条标题"/>
    <w:basedOn w:val="60"/>
    <w:next w:val="24"/>
    <w:qFormat/>
    <w:uiPriority w:val="0"/>
    <w:pPr>
      <w:numPr>
        <w:ilvl w:val="5"/>
        <w:numId w:val="5"/>
      </w:numPr>
      <w:tabs>
        <w:tab w:val="left" w:pos="360"/>
      </w:tabs>
      <w:outlineLvl w:val="5"/>
    </w:pPr>
  </w:style>
  <w:style w:type="paragraph" w:customStyle="1" w:styleId="60">
    <w:name w:val="附录三级条标题"/>
    <w:basedOn w:val="61"/>
    <w:next w:val="24"/>
    <w:qFormat/>
    <w:uiPriority w:val="0"/>
    <w:pPr>
      <w:numPr>
        <w:ilvl w:val="4"/>
        <w:numId w:val="5"/>
      </w:numPr>
      <w:tabs>
        <w:tab w:val="left" w:pos="360"/>
      </w:tabs>
      <w:outlineLvl w:val="4"/>
    </w:pPr>
  </w:style>
  <w:style w:type="paragraph" w:customStyle="1" w:styleId="61">
    <w:name w:val="附录二级条标题"/>
    <w:basedOn w:val="1"/>
    <w:next w:val="24"/>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3">
    <w:name w:val="示例后文字"/>
    <w:basedOn w:val="24"/>
    <w:next w:val="24"/>
    <w:qFormat/>
    <w:uiPriority w:val="0"/>
    <w:pPr>
      <w:ind w:firstLine="360"/>
    </w:pPr>
    <w:rPr>
      <w:sz w:val="18"/>
    </w:rPr>
  </w:style>
  <w:style w:type="paragraph" w:customStyle="1" w:styleId="64">
    <w:name w:val="二级无"/>
    <w:basedOn w:val="65"/>
    <w:qFormat/>
    <w:uiPriority w:val="0"/>
    <w:pPr>
      <w:spacing w:before="0" w:beforeLines="0" w:after="0" w:afterLines="0"/>
      <w:ind w:left="0" w:firstLine="0"/>
    </w:pPr>
    <w:rPr>
      <w:rFonts w:ascii="宋体" w:eastAsia="宋体"/>
    </w:rPr>
  </w:style>
  <w:style w:type="paragraph" w:customStyle="1" w:styleId="65">
    <w:name w:val="二级条标题"/>
    <w:basedOn w:val="66"/>
    <w:next w:val="24"/>
    <w:qFormat/>
    <w:uiPriority w:val="0"/>
    <w:pPr>
      <w:numPr>
        <w:ilvl w:val="2"/>
        <w:numId w:val="2"/>
      </w:numPr>
      <w:spacing w:before="50" w:after="50"/>
      <w:outlineLvl w:val="3"/>
    </w:pPr>
  </w:style>
  <w:style w:type="paragraph" w:customStyle="1" w:styleId="66">
    <w:name w:val="一级条标题"/>
    <w:next w:val="2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68">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9">
    <w:name w:val="附录一级无"/>
    <w:basedOn w:val="70"/>
    <w:qFormat/>
    <w:uiPriority w:val="0"/>
    <w:pPr>
      <w:tabs>
        <w:tab w:val="left" w:pos="360"/>
      </w:tabs>
      <w:spacing w:before="0" w:beforeLines="0" w:after="0" w:afterLines="0"/>
    </w:pPr>
    <w:rPr>
      <w:rFonts w:ascii="宋体" w:eastAsia="宋体"/>
      <w:szCs w:val="21"/>
    </w:rPr>
  </w:style>
  <w:style w:type="paragraph" w:customStyle="1" w:styleId="70">
    <w:name w:val="附录一级条标题"/>
    <w:basedOn w:val="71"/>
    <w:next w:val="24"/>
    <w:qFormat/>
    <w:uiPriority w:val="0"/>
    <w:pPr>
      <w:numPr>
        <w:ilvl w:val="2"/>
        <w:numId w:val="5"/>
      </w:numPr>
      <w:tabs>
        <w:tab w:val="left" w:pos="360"/>
      </w:tabs>
      <w:autoSpaceDN w:val="0"/>
      <w:spacing w:before="50" w:beforeLines="50" w:after="50" w:afterLines="50"/>
      <w:outlineLvl w:val="2"/>
    </w:pPr>
  </w:style>
  <w:style w:type="paragraph" w:customStyle="1" w:styleId="71">
    <w:name w:val="附录章标题"/>
    <w:next w:val="24"/>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2">
    <w:name w:val="附录四级无"/>
    <w:basedOn w:val="59"/>
    <w:qFormat/>
    <w:uiPriority w:val="0"/>
    <w:pPr>
      <w:tabs>
        <w:tab w:val="clear" w:pos="360"/>
      </w:tabs>
      <w:spacing w:before="0" w:beforeLines="0" w:after="0" w:afterLines="0"/>
    </w:pPr>
    <w:rPr>
      <w:rFonts w:ascii="宋体" w:eastAsia="宋体"/>
      <w:szCs w:val="21"/>
    </w:rPr>
  </w:style>
  <w:style w:type="paragraph" w:customStyle="1" w:styleId="73">
    <w:name w:val="附录标识"/>
    <w:basedOn w:val="1"/>
    <w:next w:val="24"/>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文稿类别"/>
    <w:basedOn w:val="55"/>
    <w:qFormat/>
    <w:uiPriority w:val="0"/>
    <w:pPr>
      <w:spacing w:after="160" w:line="240" w:lineRule="auto"/>
    </w:pPr>
    <w:rPr>
      <w:sz w:val="24"/>
    </w:rPr>
  </w:style>
  <w:style w:type="paragraph" w:customStyle="1" w:styleId="76">
    <w:name w:val="三级无"/>
    <w:basedOn w:val="77"/>
    <w:qFormat/>
    <w:uiPriority w:val="0"/>
    <w:pPr>
      <w:spacing w:before="0" w:beforeLines="0" w:after="0" w:afterLines="0"/>
    </w:pPr>
    <w:rPr>
      <w:rFonts w:ascii="宋体" w:eastAsia="宋体"/>
    </w:rPr>
  </w:style>
  <w:style w:type="paragraph" w:customStyle="1" w:styleId="77">
    <w:name w:val="三级条标题"/>
    <w:basedOn w:val="65"/>
    <w:next w:val="24"/>
    <w:qFormat/>
    <w:uiPriority w:val="0"/>
    <w:pPr>
      <w:numPr>
        <w:ilvl w:val="3"/>
        <w:numId w:val="2"/>
      </w:numPr>
      <w:outlineLvl w:val="4"/>
    </w:pPr>
  </w:style>
  <w:style w:type="paragraph" w:customStyle="1" w:styleId="78">
    <w:name w:val="五级条标题"/>
    <w:basedOn w:val="79"/>
    <w:next w:val="24"/>
    <w:qFormat/>
    <w:uiPriority w:val="0"/>
    <w:pPr>
      <w:numPr>
        <w:ilvl w:val="5"/>
        <w:numId w:val="2"/>
      </w:numPr>
      <w:outlineLvl w:val="6"/>
    </w:pPr>
  </w:style>
  <w:style w:type="paragraph" w:customStyle="1" w:styleId="79">
    <w:name w:val="四级条标题"/>
    <w:basedOn w:val="77"/>
    <w:next w:val="24"/>
    <w:qFormat/>
    <w:uiPriority w:val="0"/>
    <w:pPr>
      <w:numPr>
        <w:ilvl w:val="4"/>
        <w:numId w:val="2"/>
      </w:numPr>
      <w:outlineLvl w:val="5"/>
    </w:pPr>
  </w:style>
  <w:style w:type="paragraph" w:customStyle="1" w:styleId="80">
    <w:name w:val="其他发布部门"/>
    <w:basedOn w:val="81"/>
    <w:qFormat/>
    <w:uiPriority w:val="0"/>
    <w:pPr>
      <w:framePr w:y="15310"/>
      <w:spacing w:line="0" w:lineRule="atLeast"/>
    </w:pPr>
    <w:rPr>
      <w:rFonts w:ascii="黑体" w:eastAsia="黑体"/>
      <w:b w:val="0"/>
    </w:rPr>
  </w:style>
  <w:style w:type="paragraph" w:customStyle="1" w:styleId="81">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3">
    <w:name w:val="附录五级无"/>
    <w:basedOn w:val="58"/>
    <w:qFormat/>
    <w:uiPriority w:val="0"/>
    <w:pPr>
      <w:tabs>
        <w:tab w:val="clear" w:pos="360"/>
      </w:tabs>
      <w:spacing w:before="0" w:beforeLines="0" w:after="0" w:afterLines="0"/>
    </w:pPr>
    <w:rPr>
      <w:rFonts w:ascii="宋体" w:eastAsia="宋体"/>
      <w:szCs w:val="21"/>
    </w:rPr>
  </w:style>
  <w:style w:type="paragraph" w:customStyle="1" w:styleId="84">
    <w:name w:val="标准书眉_偶数页"/>
    <w:basedOn w:val="62"/>
    <w:next w:val="1"/>
    <w:qFormat/>
    <w:uiPriority w:val="0"/>
    <w:pPr>
      <w:jc w:val="left"/>
    </w:pPr>
    <w:rPr>
      <w:rFonts w:ascii="黑体" w:eastAsia="黑体"/>
    </w:rPr>
  </w:style>
  <w:style w:type="paragraph" w:customStyle="1" w:styleId="85">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6">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8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附录表标题"/>
    <w:basedOn w:val="1"/>
    <w:next w:val="24"/>
    <w:qFormat/>
    <w:uiPriority w:val="0"/>
    <w:pPr>
      <w:numPr>
        <w:ilvl w:val="1"/>
        <w:numId w:val="8"/>
      </w:numPr>
      <w:tabs>
        <w:tab w:val="left" w:pos="180"/>
      </w:tabs>
      <w:spacing w:before="50" w:beforeLines="50" w:after="50" w:afterLines="50"/>
      <w:ind w:left="0" w:firstLine="0"/>
      <w:jc w:val="center"/>
    </w:pPr>
    <w:rPr>
      <w:rFonts w:ascii="黑体" w:eastAsia="黑体"/>
      <w:szCs w:val="21"/>
    </w:rPr>
  </w:style>
  <w:style w:type="paragraph" w:customStyle="1" w:styleId="8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0">
    <w:name w:val="其他发布日期"/>
    <w:basedOn w:val="91"/>
    <w:qFormat/>
    <w:uiPriority w:val="0"/>
    <w:pPr>
      <w:framePr w:vAnchor="page" w:hAnchor="page" w:x="1419"/>
    </w:pPr>
  </w:style>
  <w:style w:type="paragraph" w:customStyle="1" w:styleId="9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2">
    <w:name w:val="编号列项（三级）"/>
    <w:qFormat/>
    <w:uiPriority w:val="0"/>
    <w:pPr>
      <w:numPr>
        <w:ilvl w:val="2"/>
        <w:numId w:val="9"/>
      </w:numPr>
    </w:pPr>
    <w:rPr>
      <w:rFonts w:ascii="宋体" w:hAnsi="Times New Roman" w:eastAsia="宋体" w:cs="Times New Roman"/>
      <w:sz w:val="21"/>
      <w:lang w:val="en-US" w:eastAsia="zh-CN" w:bidi="ar-SA"/>
    </w:rPr>
  </w:style>
  <w:style w:type="paragraph" w:customStyle="1" w:styleId="93">
    <w:name w:val="五级无"/>
    <w:basedOn w:val="78"/>
    <w:qFormat/>
    <w:uiPriority w:val="0"/>
    <w:pPr>
      <w:spacing w:before="0" w:beforeLines="0" w:after="0" w:afterLines="0"/>
    </w:pPr>
    <w:rPr>
      <w:rFonts w:ascii="宋体" w:eastAsia="宋体"/>
    </w:rPr>
  </w:style>
  <w:style w:type="paragraph" w:customStyle="1" w:styleId="94">
    <w:name w:val="注：（正文）"/>
    <w:basedOn w:val="85"/>
    <w:next w:val="24"/>
    <w:qFormat/>
    <w:uiPriority w:val="0"/>
  </w:style>
  <w:style w:type="paragraph" w:customStyle="1" w:styleId="95">
    <w:name w:val="实施日期"/>
    <w:basedOn w:val="91"/>
    <w:qFormat/>
    <w:uiPriority w:val="0"/>
    <w:pPr>
      <w:framePr w:vAnchor="page" w:hAnchor="page"/>
      <w:jc w:val="right"/>
    </w:pPr>
  </w:style>
  <w:style w:type="paragraph" w:customStyle="1" w:styleId="96">
    <w:name w:val="四级无"/>
    <w:basedOn w:val="79"/>
    <w:qFormat/>
    <w:uiPriority w:val="0"/>
    <w:pPr>
      <w:spacing w:before="0" w:beforeLines="0" w:after="0" w:afterLines="0"/>
    </w:pPr>
    <w:rPr>
      <w:rFonts w:ascii="宋体" w:eastAsia="宋体"/>
    </w:rPr>
  </w:style>
  <w:style w:type="paragraph" w:customStyle="1" w:styleId="97">
    <w:name w:val="条文脚注"/>
    <w:basedOn w:val="25"/>
    <w:qFormat/>
    <w:uiPriority w:val="0"/>
    <w:pPr>
      <w:numPr>
        <w:ilvl w:val="0"/>
        <w:numId w:val="0"/>
      </w:numPr>
      <w:jc w:val="both"/>
    </w:pPr>
    <w:rPr>
      <w:rFonts w:ascii="宋体"/>
    </w:rPr>
  </w:style>
  <w:style w:type="paragraph" w:customStyle="1" w:styleId="98">
    <w:name w:val="正文公式编号制表符"/>
    <w:basedOn w:val="24"/>
    <w:next w:val="24"/>
    <w:qFormat/>
    <w:uiPriority w:val="0"/>
    <w:pPr>
      <w:ind w:firstLine="0" w:firstLineChars="0"/>
    </w:pPr>
  </w:style>
  <w:style w:type="paragraph" w:customStyle="1" w:styleId="99">
    <w:name w:val="图表脚注说明"/>
    <w:basedOn w:val="1"/>
    <w:qFormat/>
    <w:uiPriority w:val="0"/>
    <w:pPr>
      <w:numPr>
        <w:ilvl w:val="0"/>
        <w:numId w:val="10"/>
      </w:numPr>
    </w:pPr>
    <w:rPr>
      <w:rFonts w:ascii="宋体"/>
      <w:sz w:val="18"/>
      <w:szCs w:val="18"/>
    </w:rPr>
  </w:style>
  <w:style w:type="paragraph" w:customStyle="1" w:styleId="100">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3">
    <w:name w:val="附录表标号"/>
    <w:basedOn w:val="1"/>
    <w:next w:val="24"/>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104">
    <w:name w:val="封面标准文稿类别2"/>
    <w:basedOn w:val="75"/>
    <w:qFormat/>
    <w:uiPriority w:val="0"/>
    <w:pPr>
      <w:framePr w:y="4469"/>
    </w:pPr>
  </w:style>
  <w:style w:type="paragraph" w:customStyle="1" w:styleId="105">
    <w:name w:val="示例×："/>
    <w:basedOn w:val="49"/>
    <w:qFormat/>
    <w:uiPriority w:val="0"/>
    <w:pPr>
      <w:numPr>
        <w:ilvl w:val="0"/>
        <w:numId w:val="12"/>
      </w:numPr>
      <w:spacing w:before="0" w:beforeLines="0" w:after="0" w:afterLines="0"/>
      <w:outlineLvl w:val="9"/>
    </w:pPr>
    <w:rPr>
      <w:rFonts w:ascii="宋体" w:eastAsia="宋体"/>
      <w:sz w:val="18"/>
      <w:szCs w:val="18"/>
    </w:rPr>
  </w:style>
  <w:style w:type="paragraph" w:customStyle="1" w:styleId="106">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7">
    <w:name w:val="数字编号列项（二级）"/>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08">
    <w:name w:val="附录图标题"/>
    <w:basedOn w:val="1"/>
    <w:next w:val="24"/>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9">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0">
    <w:name w:val="封面标准名称2"/>
    <w:basedOn w:val="57"/>
    <w:qFormat/>
    <w:uiPriority w:val="0"/>
    <w:pPr>
      <w:framePr w:y="4469"/>
      <w:spacing w:before="630" w:beforeLines="630"/>
    </w:pPr>
  </w:style>
  <w:style w:type="paragraph" w:customStyle="1" w:styleId="111">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12">
    <w:name w:val="标准书眉一"/>
    <w:qFormat/>
    <w:uiPriority w:val="0"/>
    <w:pPr>
      <w:jc w:val="both"/>
    </w:pPr>
    <w:rPr>
      <w:rFonts w:ascii="Times New Roman" w:hAnsi="Times New Roman" w:eastAsia="宋体" w:cs="Times New Roman"/>
      <w:lang w:val="en-US" w:eastAsia="zh-CN" w:bidi="ar-SA"/>
    </w:rPr>
  </w:style>
  <w:style w:type="paragraph" w:customStyle="1" w:styleId="11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4">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15">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注×："/>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 w:type="paragraph" w:customStyle="1" w:styleId="11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19">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附录标题"/>
    <w:basedOn w:val="24"/>
    <w:next w:val="24"/>
    <w:qFormat/>
    <w:uiPriority w:val="0"/>
    <w:pPr>
      <w:ind w:firstLine="0" w:firstLineChars="0"/>
      <w:jc w:val="center"/>
    </w:pPr>
    <w:rPr>
      <w:rFonts w:ascii="黑体" w:eastAsia="黑体"/>
    </w:rPr>
  </w:style>
  <w:style w:type="paragraph" w:customStyle="1" w:styleId="121">
    <w:name w:val="一级无"/>
    <w:basedOn w:val="66"/>
    <w:qFormat/>
    <w:uiPriority w:val="0"/>
    <w:pPr>
      <w:spacing w:before="0" w:beforeLines="0" w:after="0" w:afterLines="0"/>
    </w:pPr>
    <w:rPr>
      <w:rFonts w:ascii="宋体" w:eastAsia="宋体"/>
    </w:rPr>
  </w:style>
  <w:style w:type="paragraph" w:customStyle="1" w:styleId="122">
    <w:name w:val="其他实施日期"/>
    <w:basedOn w:val="95"/>
    <w:qFormat/>
    <w:uiPriority w:val="0"/>
  </w:style>
  <w:style w:type="paragraph" w:customStyle="1" w:styleId="123">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4">
    <w:name w:val="正文表标题"/>
    <w:next w:val="24"/>
    <w:qFormat/>
    <w:uiPriority w:val="0"/>
    <w:pPr>
      <w:numPr>
        <w:ilvl w:val="0"/>
        <w:numId w:val="1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5">
    <w:name w:val="封面标准文稿编辑信息"/>
    <w:basedOn w:val="75"/>
    <w:qFormat/>
    <w:uiPriority w:val="0"/>
    <w:pPr>
      <w:spacing w:before="180" w:line="180" w:lineRule="exact"/>
    </w:pPr>
    <w:rPr>
      <w:sz w:val="21"/>
    </w:rPr>
  </w:style>
  <w:style w:type="paragraph" w:customStyle="1" w:styleId="12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7">
    <w:name w:val="其他标准标志"/>
    <w:basedOn w:val="102"/>
    <w:qFormat/>
    <w:uiPriority w:val="0"/>
    <w:pPr>
      <w:framePr w:w="6101" w:vAnchor="page" w:hAnchor="page" w:x="4673" w:y="942"/>
    </w:pPr>
    <w:rPr>
      <w:w w:val="130"/>
    </w:rPr>
  </w:style>
  <w:style w:type="paragraph" w:customStyle="1" w:styleId="128">
    <w:name w:val="列项◆（三级）"/>
    <w:basedOn w:val="1"/>
    <w:qFormat/>
    <w:uiPriority w:val="0"/>
    <w:pPr>
      <w:numPr>
        <w:ilvl w:val="2"/>
        <w:numId w:val="7"/>
      </w:numPr>
    </w:pPr>
    <w:rPr>
      <w:rFonts w:ascii="宋体"/>
      <w:szCs w:val="21"/>
    </w:rPr>
  </w:style>
  <w:style w:type="paragraph" w:customStyle="1" w:styleId="12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0">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31">
    <w:name w:val="封面一致性程度标识2"/>
    <w:basedOn w:val="55"/>
    <w:qFormat/>
    <w:uiPriority w:val="0"/>
    <w:pPr>
      <w:framePr w:y="4469"/>
    </w:pPr>
  </w:style>
  <w:style w:type="paragraph" w:customStyle="1" w:styleId="13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3">
    <w:name w:val="封面标准英文名称2"/>
    <w:basedOn w:val="56"/>
    <w:qFormat/>
    <w:uiPriority w:val="0"/>
    <w:pPr>
      <w:framePr w:y="4469"/>
    </w:pPr>
  </w:style>
  <w:style w:type="paragraph" w:customStyle="1" w:styleId="134">
    <w:name w:val="附录三级无"/>
    <w:basedOn w:val="60"/>
    <w:qFormat/>
    <w:uiPriority w:val="0"/>
    <w:pPr>
      <w:tabs>
        <w:tab w:val="clear" w:pos="360"/>
      </w:tabs>
      <w:spacing w:before="0" w:beforeLines="0" w:after="0" w:afterLines="0"/>
    </w:pPr>
    <w:rPr>
      <w:rFonts w:ascii="宋体" w:eastAsia="宋体"/>
      <w:szCs w:val="21"/>
    </w:rPr>
  </w:style>
  <w:style w:type="paragraph" w:customStyle="1" w:styleId="135">
    <w:name w:val="封面标准文稿编辑信息2"/>
    <w:basedOn w:val="125"/>
    <w:qFormat/>
    <w:uiPriority w:val="0"/>
    <w:pPr>
      <w:framePr w:y="4469"/>
    </w:pPr>
  </w:style>
  <w:style w:type="paragraph" w:customStyle="1" w:styleId="136">
    <w:name w:val="终结线"/>
    <w:basedOn w:val="1"/>
    <w:qFormat/>
    <w:uiPriority w:val="0"/>
    <w:pPr>
      <w:framePr w:hSpace="181" w:vSpace="181" w:wrap="around" w:vAnchor="text" w:hAnchor="margin" w:xAlign="center" w:y="285"/>
    </w:pPr>
  </w:style>
  <w:style w:type="paragraph" w:customStyle="1" w:styleId="137">
    <w:name w:val="附录二级无"/>
    <w:basedOn w:val="61"/>
    <w:qFormat/>
    <w:uiPriority w:val="0"/>
    <w:pPr>
      <w:tabs>
        <w:tab w:val="clear" w:pos="360"/>
      </w:tabs>
      <w:spacing w:before="0" w:beforeLines="0" w:after="0" w:afterLines="0"/>
    </w:pPr>
    <w:rPr>
      <w:rFonts w:ascii="宋体" w:eastAsia="宋体"/>
      <w:szCs w:val="21"/>
    </w:rPr>
  </w:style>
  <w:style w:type="paragraph" w:customStyle="1" w:styleId="138">
    <w:name w:val="正文图标题"/>
    <w:next w:val="24"/>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9">
    <w:name w:val="字母编号列项（一级）"/>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40">
    <w:name w:val="封面正文"/>
    <w:qFormat/>
    <w:uiPriority w:val="0"/>
    <w:pPr>
      <w:jc w:val="both"/>
    </w:pPr>
    <w:rPr>
      <w:rFonts w:ascii="Times New Roman" w:hAnsi="Times New Roman" w:eastAsia="宋体" w:cs="Times New Roman"/>
      <w:lang w:val="en-US" w:eastAsia="zh-CN" w:bidi="ar-SA"/>
    </w:rPr>
  </w:style>
  <w:style w:type="paragraph" w:customStyle="1" w:styleId="141">
    <w:name w:val="Table Paragraph"/>
    <w:basedOn w:val="1"/>
    <w:qFormat/>
    <w:uiPriority w:val="1"/>
    <w:pPr>
      <w:spacing w:before="106"/>
      <w:ind w:left="847"/>
      <w:jc w:val="center"/>
    </w:pPr>
    <w:rPr>
      <w:rFonts w:ascii="Times New Roman" w:hAnsi="Times New Roman" w:eastAsia="Times New Roman" w:cs="Times New Roman"/>
    </w:rPr>
  </w:style>
  <w:style w:type="table" w:customStyle="1" w:styleId="142">
    <w:name w:val="Table Normal"/>
    <w:semiHidden/>
    <w:unhideWhenUsed/>
    <w:qFormat/>
    <w:uiPriority w:val="2"/>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microsoft.com/office/2006/relationships/keyMapCustomizations" Target="customizations.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1.wmf"/><Relationship Id="rId25" Type="http://schemas.openxmlformats.org/officeDocument/2006/relationships/oleObject" Target="embeddings/oleObject4.bin"/><Relationship Id="rId24" Type="http://schemas.openxmlformats.org/officeDocument/2006/relationships/image" Target="media/image10.wmf"/><Relationship Id="rId23" Type="http://schemas.openxmlformats.org/officeDocument/2006/relationships/oleObject" Target="embeddings/oleObject3.bin"/><Relationship Id="rId22" Type="http://schemas.openxmlformats.org/officeDocument/2006/relationships/image" Target="media/image9.wmf"/><Relationship Id="rId21" Type="http://schemas.openxmlformats.org/officeDocument/2006/relationships/oleObject" Target="embeddings/oleObject2.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30828;&#37329;&#38236;&#20809;&#30005;&#38136;&#24037;&#33402;&#26631;&#2093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硬金镜光电铸工艺标准</Template>
  <Company>zle</Company>
  <Pages>17</Pages>
  <Words>6652</Words>
  <Characters>7639</Characters>
  <Lines>27</Lines>
  <Paragraphs>7</Paragraphs>
  <TotalTime>18</TotalTime>
  <ScaleCrop>false</ScaleCrop>
  <LinksUpToDate>false</LinksUpToDate>
  <CharactersWithSpaces>8032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2020-07-07T09:43:00Z</dcterms:created>
  <dc:creator>asus</dc:creator>
  <cp:lastModifiedBy>WPS_1174527824</cp:lastModifiedBy>
  <dcterms:modified xsi:type="dcterms:W3CDTF">2022-12-21T09:08:37Z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99506BAE70B8495CB45F8AFC6C2B430D</vt:lpwstr>
  </property>
</Properties>
</file>