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framePr w:wrap="around"/>
      </w:pPr>
      <w:r>
        <w:rPr>
          <w:rFonts w:hAnsi="黑体"/>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39.060 </w:t>
      </w:r>
      <w:r>
        <w:fldChar w:fldCharType="end"/>
      </w:r>
      <w:bookmarkEnd w:id="0"/>
    </w:p>
    <w:p>
      <w:pPr>
        <w:pStyle w:val="114"/>
        <w:framePr w:wrap="around"/>
      </w:pPr>
      <w:bookmarkStart w:id="1" w:name="WXFLH"/>
      <w:r>
        <w:rPr>
          <w:rFonts w:hint="eastAsia"/>
        </w:rPr>
        <w:t xml:space="preserve">CCS </w:t>
      </w: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Y 88</w:t>
      </w:r>
      <w:r>
        <w:fldChar w:fldCharType="end"/>
      </w:r>
      <w:bookmarkEnd w:id="1"/>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4" w:type="dxa"/>
            <w:tcBorders>
              <w:top w:val="nil"/>
              <w:left w:val="nil"/>
              <w:bottom w:val="nil"/>
              <w:right w:val="nil"/>
            </w:tcBorders>
          </w:tcPr>
          <w:p>
            <w:pPr>
              <w:pStyle w:val="114"/>
              <w:framePr w:wrap="around"/>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yK4v7NUAAAAHAQAADwAAAAAAAAABACAAAAAiAAAAZHJzL2Rvd25yZXYueG1sUEsBAhQAFAAA&#10;AAgAh07iQPHmY3K5AQAAgAMAAA4AAAAAAAAAAQAgAAAAJAEAAGRycy9lMm9Eb2MueG1sUEsFBgAA&#10;AAAGAAYAWQEAAE8FAAAAAA==&#10;">
                      <v:fill on="t" focussize="0,0"/>
                      <v:stroke on="f"/>
                      <v:imagedata o:title=""/>
                      <o:lock v:ext="edit" aspectratio="f"/>
                      <v:textbox>
                        <w:txbxContent>
                          <w:p/>
                        </w:txbxContent>
                      </v:textbox>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17"/>
        <w:framePr w:wrap="around"/>
        <w:rPr>
          <w:rFonts w:ascii="Times New Roman" w:hAnsi="Times New Roman"/>
          <w:sz w:val="72"/>
          <w:szCs w:val="72"/>
        </w:rPr>
      </w:pPr>
      <w:r>
        <w:rPr>
          <w:rFonts w:hint="eastAsia"/>
          <w:sz w:val="72"/>
          <w:szCs w:val="72"/>
        </w:rPr>
        <w:t>团体标准</w:t>
      </w:r>
    </w:p>
    <w:p>
      <w:pPr>
        <w:pStyle w:val="90"/>
        <w:framePr w:wrap="around"/>
        <w:rPr>
          <w:rFonts w:hAnsi="黑体"/>
        </w:rPr>
      </w:pPr>
      <w:r>
        <w:rPr>
          <w:rFonts w:hint="eastAsia" w:hAnsi="黑体" w:cs="黑体"/>
        </w:rPr>
        <w:t>T/SZS XXX</w:t>
      </w:r>
      <w:r>
        <w:rPr>
          <w:rFonts w:hAnsi="黑体"/>
        </w:rPr>
        <w:t>—</w:t>
      </w:r>
      <w:r>
        <w:rPr>
          <w:rFonts w:hint="eastAsia" w:hAnsi="黑体"/>
        </w:rPr>
        <w:t>2022</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tcPr>
          <w:p>
            <w:pPr>
              <w:pStyle w:val="75"/>
              <w:framePr w:wrap="around"/>
            </w:pPr>
            <w:bookmarkStart w:id="3"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pPr>
        <w:pStyle w:val="90"/>
        <w:framePr w:wrap="around"/>
        <w:rPr>
          <w:rFonts w:hAnsi="黑体"/>
        </w:rPr>
      </w:pPr>
    </w:p>
    <w:p>
      <w:pPr>
        <w:pStyle w:val="90"/>
        <w:framePr w:wrap="around"/>
        <w:rPr>
          <w:rFonts w:hAnsi="黑体"/>
        </w:rPr>
      </w:pPr>
    </w:p>
    <w:p>
      <w:pPr>
        <w:pStyle w:val="58"/>
        <w:framePr w:wrap="around"/>
        <w:spacing w:line="800" w:lineRule="atLeast"/>
      </w:pPr>
      <w:bookmarkStart w:id="4" w:name="StdName"/>
      <w:r>
        <w:rPr>
          <w:rFonts w:hint="eastAsia"/>
        </w:rPr>
        <w:t xml:space="preserve">珠宝饰品网上交易服务经营规范                  </w:t>
      </w:r>
      <w:bookmarkEnd w:id="4"/>
    </w:p>
    <w:p>
      <w:pPr>
        <w:pStyle w:val="57"/>
        <w:framePr w:wrap="around"/>
        <w:spacing w:before="0" w:line="200" w:lineRule="atLeast"/>
        <w:rPr>
          <w:rFonts w:ascii="黑体" w:hAnsi="黑体"/>
          <w:color w:val="FF0000"/>
        </w:rPr>
      </w:pPr>
      <w:r>
        <w:rPr>
          <w:rFonts w:hint="eastAsia" w:ascii="黑体" w:hAnsi="黑体"/>
          <w:lang w:val="en-US" w:eastAsia="zh-CN"/>
        </w:rPr>
        <w:t>O</w:t>
      </w:r>
      <w:r>
        <w:rPr>
          <w:rFonts w:hint="eastAsia" w:ascii="黑体" w:hAnsi="黑体"/>
        </w:rPr>
        <w:t xml:space="preserve">nline trading service-management specification of gems ornaments </w:t>
      </w:r>
      <w:r>
        <w:rPr>
          <w:rFonts w:ascii="黑体" w:hAnsi="黑体"/>
        </w:rPr>
        <w:t xml:space="preserve">         </w:t>
      </w:r>
    </w:p>
    <w:p>
      <w:pPr>
        <w:pStyle w:val="56"/>
        <w:framePr w:wrap="around"/>
        <w:spacing w:before="0" w:line="300" w:lineRule="atLeast"/>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6"/>
              <w:framePr w:wrap="around"/>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2"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txbx>
                              <w:txbxContent>
                                <w:p/>
                              </w:txbxContent>
                            </wps:txbx>
                            <wps:bodyPr wrap="square" upright="1"/>
                          </wps:wsp>
                        </a:graphicData>
                      </a:graphic>
                    </wp:anchor>
                  </w:drawing>
                </mc:Choice>
                <mc:Fallback>
                  <w:pict>
                    <v:rect id="RQ"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XYv9prMBAACA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26"/>
              <w:framePr w:wrap="around"/>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26"/>
              <w:framePr w:wrap="around"/>
            </w:pPr>
          </w:p>
        </w:tc>
      </w:tr>
    </w:tbl>
    <w:p>
      <w:pPr>
        <w:pStyle w:val="91"/>
        <w:framePr w:wrap="around"/>
        <w:rPr>
          <w:rFonts w:ascii="黑体" w:hAnsi="黑体"/>
        </w:rPr>
      </w:pPr>
      <w:r>
        <w:rPr>
          <w:rFonts w:hint="eastAsia" w:ascii="黑体" w:hAnsi="黑体"/>
        </w:rPr>
        <w:t>2022-XX-XX发布</w:t>
      </w:r>
      <w:r>
        <w:rPr>
          <w:rFonts w:ascii="黑体" w:hAnsi="黑体"/>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WH&#10;azzWAAAACwEAAA8AAAAAAAAAAQAgAAAAIgAAAGRycy9kb3ducmV2LnhtbFBLAQIUABQAAAAIAIdO&#10;4kDqkCN17AEAAOoDAAAOAAAAAAAAAAEAIAAAACUBAABkcnMvZTJvRG9jLnhtbFBLBQYAAAAABgAG&#10;AFkBAACDBQAAAAA=&#10;">
                <v:fill on="f" focussize="0,0"/>
                <v:stroke color="#000000" joinstyle="round"/>
                <v:imagedata o:title=""/>
                <o:lock v:ext="edit" aspectratio="f"/>
                <w10:anchorlock/>
              </v:line>
            </w:pict>
          </mc:Fallback>
        </mc:AlternateContent>
      </w:r>
    </w:p>
    <w:p>
      <w:pPr>
        <w:pStyle w:val="123"/>
        <w:framePr w:wrap="around"/>
        <w:rPr>
          <w:rFonts w:ascii="黑体" w:hAnsi="黑体"/>
        </w:rPr>
      </w:pPr>
      <w:r>
        <w:rPr>
          <w:rFonts w:hint="eastAsia" w:ascii="黑体" w:hAnsi="黑体"/>
        </w:rPr>
        <w:t>2022-XX-XX实施</w:t>
      </w:r>
    </w:p>
    <w:p>
      <w:pPr>
        <w:pStyle w:val="81"/>
        <w:framePr w:h="490" w:hRule="exact" w:wrap="around" w:x="2204" w:y="15043"/>
        <w:sectPr>
          <w:headerReference r:id="rId3" w:type="even"/>
          <w:footerReference r:id="rId4" w:type="even"/>
          <w:pgSz w:w="11906" w:h="16838"/>
          <w:pgMar w:top="567" w:right="850" w:bottom="1134" w:left="1418" w:header="0" w:footer="0" w:gutter="0"/>
          <w:pgBorders>
            <w:top w:val="none" w:sz="0" w:space="0"/>
            <w:left w:val="none" w:sz="0" w:space="0"/>
            <w:bottom w:val="none" w:sz="0" w:space="0"/>
            <w:right w:val="none" w:sz="0" w:space="0"/>
          </w:pgBorders>
          <w:pgNumType w:start="1"/>
          <w:cols w:space="720" w:num="1"/>
          <w:docGrid w:type="lines" w:linePitch="312" w:charSpace="0"/>
        </w:sectPr>
      </w:pPr>
      <w:bookmarkStart w:id="5" w:name="fm"/>
      <w:r>
        <w:rPr>
          <w:rFonts w:hint="eastAsia"/>
          <w:szCs w:val="28"/>
        </w:rPr>
        <w:t>深圳市</w: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txbxContent>
                      </wps:txbx>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JihHaAAAADwEAAA8AAAAAAAAAAQAgAAAAIgAAAGRycy9kb3ducmV2LnhtbFBLAQIUABQAAAAI&#10;AIdO4kAcKTz7sgEAAIADAAAOAAAAAAAAAAEAIAAAACkBAABkcnMvZTJvRG9jLnhtbFBLBQYAAAAA&#10;BgAGAFkBAABNBQAAAAA=&#10;">
                <v:fill on="t" focussize="0,0"/>
                <v:stroke on="f"/>
                <v:imagedata o:title=""/>
                <o:lock v:ext="edit" aspectratio="f"/>
                <v:textbox>
                  <w:txbxContent>
                    <w:p/>
                  </w:txbxContent>
                </v:textbox>
              </v:rect>
            </w:pict>
          </mc:Fallback>
        </mc:AlternateContent>
      </w:r>
      <w:r>
        <w:rPr>
          <w:w w:val="100"/>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slkaDYAAAADwEAAA8AAAAAAAAAAQAgAAAAIgAAAGRycy9kb3ducmV2LnhtbFBLAQIUABQAAAAI&#10;AIdO4kBdjmvH7QEAAOoDAAAOAAAAAAAAAAEAIAAAACcBAABkcnMvZTJvRG9jLnhtbFBLBQYAAAAA&#10;BgAGAFkBAACGBQAAAAA=&#10;">
                <v:fill on="f" focussize="0,0"/>
                <v:stroke color="#000000" joinstyle="round"/>
                <v:imagedata o:title=""/>
                <o:lock v:ext="edit" aspectratio="f"/>
              </v:line>
            </w:pict>
          </mc:Fallback>
        </mc:AlternateContent>
      </w:r>
      <w:bookmarkEnd w:id="5"/>
      <w:r>
        <w:rPr>
          <w:rFonts w:hint="eastAsia"/>
          <w:szCs w:val="28"/>
        </w:rPr>
        <w:t>XXXX</w:t>
      </w:r>
      <w:r>
        <w:rPr>
          <w:rFonts w:hAnsi="黑体"/>
        </w:rPr>
        <w:t> </w:t>
      </w:r>
      <w:r>
        <w:rPr>
          <w:rStyle w:val="46"/>
          <w:rFonts w:hint="eastAsia"/>
        </w:rPr>
        <w:t>发布</w:t>
      </w:r>
    </w:p>
    <w:p>
      <w:pPr>
        <w:pStyle w:val="31"/>
        <w:keepNext/>
        <w:pageBreakBefore/>
        <w:shd w:val="clear" w:color="auto" w:fill="FFFFFF"/>
        <w:spacing w:before="640" w:beforeAutospacing="0" w:after="560" w:afterAutospacing="0" w:line="460" w:lineRule="exact"/>
        <w:jc w:val="center"/>
        <w:outlineLvl w:val="0"/>
      </w:pPr>
      <w:r>
        <w:rPr>
          <w:rFonts w:hint="eastAsia" w:ascii="黑体" w:hAnsi="Times New Roman" w:eastAsia="黑体" w:cs="Times New Roman"/>
          <w:sz w:val="32"/>
          <w:szCs w:val="20"/>
        </w:rPr>
        <w:t>目</w:t>
      </w:r>
      <w:bookmarkStart w:id="6" w:name="BKML"/>
      <w:r>
        <w:rPr>
          <w:rFonts w:ascii="黑体" w:hAnsi="Times New Roman" w:eastAsia="黑体" w:cs="Times New Roman"/>
          <w:sz w:val="32"/>
          <w:szCs w:val="20"/>
        </w:rPr>
        <w:t>  </w:t>
      </w:r>
      <w:r>
        <w:rPr>
          <w:rFonts w:hint="eastAsia" w:ascii="黑体" w:hAnsi="Times New Roman" w:eastAsia="黑体" w:cs="Times New Roman"/>
          <w:sz w:val="32"/>
          <w:szCs w:val="20"/>
        </w:rPr>
        <w:t>次</w:t>
      </w:r>
      <w:bookmarkEnd w:id="6"/>
    </w:p>
    <w:p>
      <w:pPr>
        <w:pStyle w:val="31"/>
        <w:widowControl w:val="0"/>
        <w:tabs>
          <w:tab w:val="right" w:leader="dot" w:pos="9242"/>
        </w:tabs>
        <w:spacing w:beforeLines="25" w:beforeAutospacing="0" w:afterLines="25" w:afterAutospacing="0"/>
        <w:rPr>
          <w:sz w:val="21"/>
          <w:szCs w:val="21"/>
        </w:rPr>
      </w:pPr>
      <w:r>
        <w:rPr>
          <w:rFonts w:cs="Times New Roman"/>
          <w:kern w:val="2"/>
          <w:sz w:val="21"/>
          <w:szCs w:val="21"/>
        </w:rPr>
        <w:fldChar w:fldCharType="begin" w:fldLock="1"/>
      </w:r>
      <w:r>
        <w:rPr>
          <w:rFonts w:hint="eastAsia" w:cs="Times New Roman"/>
          <w:kern w:val="2"/>
          <w:sz w:val="21"/>
          <w:szCs w:val="21"/>
        </w:rPr>
        <w:instrText xml:space="preserve"> TOC \h \z \t"前言、引言标题,1,参考文献、索引标题,1,章标题,1,参考文献,1,附录标识,1,一级条标题, 3" \* MERGEFORMAT </w:instrText>
      </w:r>
      <w:r>
        <w:rPr>
          <w:rFonts w:cs="Times New Roman"/>
          <w:kern w:val="2"/>
          <w:sz w:val="21"/>
          <w:szCs w:val="21"/>
        </w:rPr>
        <w:fldChar w:fldCharType="separate"/>
      </w:r>
      <w:r>
        <w:fldChar w:fldCharType="begin"/>
      </w:r>
      <w:r>
        <w:instrText xml:space="preserve"> HYPERLINK "file:///C:/Users/gaoting/Desktop/近日工作/无氰电铸硬足金饰品工艺参数规范（讨论后）修改第一稿3.4.docx" \l "_Toc261613803" </w:instrText>
      </w:r>
      <w:r>
        <w:fldChar w:fldCharType="separate"/>
      </w:r>
      <w:r>
        <w:rPr>
          <w:rStyle w:val="41"/>
          <w:sz w:val="21"/>
        </w:rPr>
        <w:t>前言</w:t>
      </w:r>
      <w:r>
        <w:rPr>
          <w:rStyle w:val="41"/>
          <w:color w:val="auto"/>
          <w:sz w:val="21"/>
          <w:u w:val="none"/>
        </w:rPr>
        <w:tab/>
      </w:r>
      <w:r>
        <w:rPr>
          <w:sz w:val="21"/>
          <w:szCs w:val="21"/>
        </w:rPr>
        <w:fldChar w:fldCharType="begin" w:fldLock="1"/>
      </w:r>
      <w:r>
        <w:rPr>
          <w:rStyle w:val="41"/>
          <w:color w:val="auto"/>
          <w:sz w:val="21"/>
          <w:u w:val="none"/>
        </w:rPr>
        <w:instrText xml:space="preserve"> PAGEREF _Toc261613803 \h </w:instrText>
      </w:r>
      <w:r>
        <w:rPr>
          <w:sz w:val="21"/>
          <w:szCs w:val="21"/>
        </w:rPr>
        <w:fldChar w:fldCharType="separate"/>
      </w:r>
      <w:r>
        <w:rPr>
          <w:rStyle w:val="41"/>
          <w:color w:val="auto"/>
          <w:sz w:val="21"/>
          <w:u w:val="none"/>
        </w:rPr>
        <w:t>I</w:t>
      </w:r>
      <w:r>
        <w:rPr>
          <w:sz w:val="21"/>
          <w:szCs w:val="21"/>
        </w:rPr>
        <w:fldChar w:fldCharType="end"/>
      </w:r>
      <w:r>
        <w:rPr>
          <w:sz w:val="21"/>
          <w:szCs w:val="21"/>
        </w:rPr>
        <w:fldChar w:fldCharType="begin" w:fldLock="1"/>
      </w:r>
      <w:r>
        <w:rPr>
          <w:rStyle w:val="41"/>
          <w:color w:val="auto"/>
          <w:sz w:val="21"/>
          <w:u w:val="none"/>
        </w:rPr>
        <w:instrText xml:space="preserve"> PAGEREF _Toc261613803 \h </w:instrText>
      </w:r>
      <w:r>
        <w:rPr>
          <w:sz w:val="21"/>
          <w:szCs w:val="21"/>
        </w:rPr>
        <w:fldChar w:fldCharType="separate"/>
      </w:r>
      <w:r>
        <w:rPr>
          <w:rStyle w:val="41"/>
          <w:color w:val="auto"/>
          <w:sz w:val="21"/>
          <w:u w:val="none"/>
        </w:rPr>
        <w:t>I</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"_Toc261613804" </w:instrText>
      </w:r>
      <w:r>
        <w:fldChar w:fldCharType="separate"/>
      </w:r>
      <w:r>
        <w:rPr>
          <w:rStyle w:val="41"/>
          <w:sz w:val="21"/>
        </w:rPr>
        <w:t>1　范围</w:t>
      </w:r>
      <w:r>
        <w:rPr>
          <w:rStyle w:val="41"/>
          <w:color w:val="auto"/>
          <w:sz w:val="21"/>
          <w:u w:val="none"/>
        </w:rPr>
        <w:tab/>
      </w:r>
      <w:r>
        <w:rPr>
          <w:sz w:val="21"/>
          <w:szCs w:val="21"/>
        </w:rPr>
        <w:fldChar w:fldCharType="begin" w:fldLock="1"/>
      </w:r>
      <w:r>
        <w:rPr>
          <w:rStyle w:val="41"/>
          <w:color w:val="auto"/>
          <w:sz w:val="21"/>
          <w:u w:val="none"/>
        </w:rPr>
        <w:instrText xml:space="preserve"> PAGEREF _Toc261613804 \h </w:instrText>
      </w:r>
      <w:r>
        <w:rPr>
          <w:sz w:val="21"/>
          <w:szCs w:val="21"/>
        </w:rPr>
        <w:fldChar w:fldCharType="separate"/>
      </w:r>
      <w:r>
        <w:rPr>
          <w:rStyle w:val="41"/>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"_Toc261613805" </w:instrText>
      </w:r>
      <w:r>
        <w:fldChar w:fldCharType="separate"/>
      </w:r>
      <w:r>
        <w:rPr>
          <w:rStyle w:val="41"/>
          <w:sz w:val="21"/>
        </w:rPr>
        <w:t>2　规范性引用文件</w:t>
      </w:r>
      <w:r>
        <w:rPr>
          <w:rStyle w:val="41"/>
          <w:color w:val="auto"/>
          <w:sz w:val="21"/>
          <w:u w:val="none"/>
        </w:rPr>
        <w:tab/>
      </w:r>
      <w:r>
        <w:rPr>
          <w:sz w:val="21"/>
          <w:szCs w:val="21"/>
        </w:rPr>
        <w:fldChar w:fldCharType="begin" w:fldLock="1"/>
      </w:r>
      <w:r>
        <w:rPr>
          <w:rStyle w:val="41"/>
          <w:color w:val="auto"/>
          <w:sz w:val="21"/>
          <w:u w:val="none"/>
        </w:rPr>
        <w:instrText xml:space="preserve"> PAGEREF _Toc261613805 \h </w:instrText>
      </w:r>
      <w:r>
        <w:rPr>
          <w:sz w:val="21"/>
          <w:szCs w:val="21"/>
        </w:rPr>
        <w:fldChar w:fldCharType="separate"/>
      </w:r>
      <w:r>
        <w:rPr>
          <w:rStyle w:val="41"/>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"_Toc261613806" </w:instrText>
      </w:r>
      <w:r>
        <w:fldChar w:fldCharType="separate"/>
      </w:r>
      <w:r>
        <w:rPr>
          <w:rStyle w:val="41"/>
          <w:bCs/>
          <w:sz w:val="21"/>
        </w:rPr>
        <w:t>3　术语和定义</w:t>
      </w:r>
      <w:r>
        <w:rPr>
          <w:rStyle w:val="41"/>
          <w:color w:val="auto"/>
          <w:sz w:val="21"/>
          <w:u w:val="none"/>
        </w:rPr>
        <w:tab/>
      </w:r>
      <w:r>
        <w:rPr>
          <w:sz w:val="21"/>
          <w:szCs w:val="21"/>
        </w:rPr>
        <w:fldChar w:fldCharType="begin" w:fldLock="1"/>
      </w:r>
      <w:r>
        <w:rPr>
          <w:rStyle w:val="41"/>
          <w:color w:val="auto"/>
          <w:sz w:val="21"/>
          <w:u w:val="none"/>
        </w:rPr>
        <w:instrText xml:space="preserve"> PAGEREF _Toc261613806 \h </w:instrText>
      </w:r>
      <w:r>
        <w:rPr>
          <w:sz w:val="21"/>
          <w:szCs w:val="21"/>
        </w:rPr>
        <w:fldChar w:fldCharType="separate"/>
      </w:r>
      <w:r>
        <w:rPr>
          <w:rStyle w:val="41"/>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4</w:t>
      </w:r>
      <w:r>
        <w:rPr>
          <w:rStyle w:val="41"/>
          <w:sz w:val="21"/>
        </w:rPr>
        <w:t>　</w:t>
      </w:r>
      <w:r>
        <w:rPr>
          <w:rStyle w:val="41"/>
          <w:rFonts w:hint="eastAsia"/>
          <w:sz w:val="21"/>
          <w:lang w:val="en-US" w:eastAsia="zh-CN"/>
        </w:rPr>
        <w:t>基本原则</w:t>
      </w:r>
      <w:r>
        <w:rPr>
          <w:rStyle w:val="41"/>
          <w:color w:val="auto"/>
          <w:sz w:val="21"/>
          <w:u w:val="none"/>
        </w:rPr>
        <w:tab/>
      </w:r>
      <w:r>
        <w:rPr>
          <w:rStyle w:val="41"/>
          <w:rFonts w:hint="eastAsia"/>
          <w:color w:val="auto"/>
          <w:sz w:val="21"/>
          <w:u w:val="none"/>
          <w:lang w:val="en-US" w:eastAsia="zh-CN"/>
        </w:rPr>
        <w:t>2</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5</w:t>
      </w:r>
      <w:r>
        <w:rPr>
          <w:rStyle w:val="41"/>
          <w:sz w:val="21"/>
        </w:rPr>
        <w:t>　</w:t>
      </w:r>
      <w:r>
        <w:rPr>
          <w:rStyle w:val="41"/>
          <w:rFonts w:hint="eastAsia"/>
          <w:sz w:val="21"/>
        </w:rPr>
        <w:t>交易主体要求</w:t>
      </w:r>
      <w:r>
        <w:rPr>
          <w:rStyle w:val="41"/>
          <w:color w:val="auto"/>
          <w:sz w:val="21"/>
          <w:u w:val="none"/>
        </w:rPr>
        <w:tab/>
      </w:r>
      <w:r>
        <w:rPr>
          <w:rStyle w:val="41"/>
          <w:rFonts w:hint="eastAsia"/>
          <w:color w:val="auto"/>
          <w:sz w:val="21"/>
          <w:u w:val="none"/>
          <w:lang w:val="en-US" w:eastAsia="zh-CN"/>
        </w:rPr>
        <w:t>2</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6</w:t>
      </w:r>
      <w:r>
        <w:rPr>
          <w:rStyle w:val="41"/>
          <w:sz w:val="21"/>
        </w:rPr>
        <w:t>　</w:t>
      </w:r>
      <w:r>
        <w:rPr>
          <w:rStyle w:val="41"/>
          <w:rFonts w:hint="eastAsia"/>
          <w:sz w:val="21"/>
        </w:rPr>
        <w:t>网上交易安全要求</w:t>
      </w:r>
      <w:r>
        <w:rPr>
          <w:rStyle w:val="41"/>
          <w:color w:val="auto"/>
          <w:sz w:val="21"/>
          <w:u w:val="none"/>
        </w:rPr>
        <w:tab/>
      </w:r>
      <w:r>
        <w:rPr>
          <w:rStyle w:val="41"/>
          <w:rFonts w:hint="eastAsia"/>
          <w:color w:val="auto"/>
          <w:sz w:val="21"/>
          <w:u w:val="none"/>
          <w:lang w:val="en-US" w:eastAsia="zh-CN"/>
        </w:rPr>
        <w:t>3</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7</w:t>
      </w:r>
      <w:r>
        <w:rPr>
          <w:rStyle w:val="41"/>
          <w:sz w:val="21"/>
        </w:rPr>
        <w:t>　</w:t>
      </w:r>
      <w:r>
        <w:rPr>
          <w:rStyle w:val="41"/>
          <w:rFonts w:hint="eastAsia"/>
          <w:sz w:val="21"/>
        </w:rPr>
        <w:t>产品要求</w:t>
      </w:r>
      <w:r>
        <w:rPr>
          <w:rStyle w:val="41"/>
          <w:color w:val="auto"/>
          <w:sz w:val="21"/>
          <w:u w:val="none"/>
        </w:rPr>
        <w:tab/>
      </w:r>
      <w:r>
        <w:rPr>
          <w:rStyle w:val="41"/>
          <w:rFonts w:hint="eastAsia"/>
          <w:color w:val="auto"/>
          <w:sz w:val="21"/>
          <w:u w:val="none"/>
          <w:lang w:val="en-US" w:eastAsia="zh-CN"/>
        </w:rPr>
        <w:t>3</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8</w:t>
      </w:r>
      <w:r>
        <w:rPr>
          <w:rStyle w:val="41"/>
          <w:sz w:val="21"/>
        </w:rPr>
        <w:t>　</w:t>
      </w:r>
      <w:r>
        <w:rPr>
          <w:rStyle w:val="41"/>
          <w:rFonts w:hint="eastAsia"/>
          <w:sz w:val="21"/>
        </w:rPr>
        <w:t>信息展示要求</w:t>
      </w:r>
      <w:r>
        <w:rPr>
          <w:rStyle w:val="41"/>
          <w:color w:val="auto"/>
          <w:sz w:val="21"/>
          <w:u w:val="none"/>
        </w:rPr>
        <w:tab/>
      </w:r>
      <w:r>
        <w:rPr>
          <w:rStyle w:val="41"/>
          <w:rFonts w:hint="eastAsia"/>
          <w:color w:val="auto"/>
          <w:sz w:val="21"/>
          <w:u w:val="none"/>
          <w:lang w:val="en-US" w:eastAsia="zh-CN"/>
        </w:rPr>
        <w:t>3</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9</w:t>
      </w:r>
      <w:r>
        <w:rPr>
          <w:rStyle w:val="41"/>
          <w:sz w:val="21"/>
        </w:rPr>
        <w:t>　</w:t>
      </w:r>
      <w:r>
        <w:rPr>
          <w:rStyle w:val="41"/>
          <w:rFonts w:hint="eastAsia"/>
          <w:sz w:val="21"/>
        </w:rPr>
        <w:t>交易服务要求</w:t>
      </w:r>
      <w:r>
        <w:rPr>
          <w:rStyle w:val="41"/>
          <w:color w:val="auto"/>
          <w:sz w:val="21"/>
          <w:u w:val="none"/>
        </w:rPr>
        <w:tab/>
      </w:r>
      <w:r>
        <w:rPr>
          <w:rStyle w:val="41"/>
          <w:rFonts w:hint="eastAsia"/>
          <w:color w:val="auto"/>
          <w:sz w:val="21"/>
          <w:u w:val="none"/>
          <w:lang w:val="en-US" w:eastAsia="zh-CN"/>
        </w:rPr>
        <w:t>5</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10</w:t>
      </w:r>
      <w:r>
        <w:rPr>
          <w:rStyle w:val="41"/>
          <w:sz w:val="21"/>
        </w:rPr>
        <w:t>　</w:t>
      </w:r>
      <w:r>
        <w:rPr>
          <w:rStyle w:val="41"/>
          <w:rFonts w:hint="eastAsia"/>
          <w:sz w:val="21"/>
        </w:rPr>
        <w:t>交易信用评价管理</w:t>
      </w:r>
      <w:r>
        <w:rPr>
          <w:rStyle w:val="41"/>
          <w:color w:val="auto"/>
          <w:sz w:val="21"/>
          <w:u w:val="none"/>
        </w:rPr>
        <w:tab/>
      </w:r>
      <w:r>
        <w:rPr>
          <w:rStyle w:val="41"/>
          <w:rFonts w:hint="eastAsia"/>
          <w:color w:val="auto"/>
          <w:sz w:val="21"/>
          <w:u w:val="none"/>
          <w:lang w:val="en-US" w:eastAsia="zh-CN"/>
        </w:rPr>
        <w:t>6</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11</w:t>
      </w:r>
      <w:r>
        <w:rPr>
          <w:rStyle w:val="41"/>
          <w:sz w:val="21"/>
        </w:rPr>
        <w:t>　</w:t>
      </w:r>
      <w:r>
        <w:rPr>
          <w:rStyle w:val="41"/>
          <w:rFonts w:hint="eastAsia"/>
          <w:sz w:val="21"/>
        </w:rPr>
        <w:t>网上交易监测与追溯</w:t>
      </w:r>
      <w:r>
        <w:rPr>
          <w:rStyle w:val="41"/>
          <w:color w:val="auto"/>
          <w:sz w:val="21"/>
          <w:u w:val="none"/>
        </w:rPr>
        <w:tab/>
      </w:r>
      <w:r>
        <w:rPr>
          <w:rStyle w:val="41"/>
          <w:rFonts w:hint="eastAsia"/>
          <w:color w:val="auto"/>
          <w:sz w:val="21"/>
          <w:u w:val="none"/>
          <w:lang w:val="en-US" w:eastAsia="zh-CN"/>
        </w:rPr>
        <w:t>6</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rStyle w:val="41"/>
          <w:rFonts w:hint="eastAsia"/>
          <w:color w:val="auto"/>
          <w:sz w:val="21"/>
          <w:u w:val="none"/>
        </w:rPr>
      </w:pPr>
      <w:r>
        <w:fldChar w:fldCharType="begin"/>
      </w:r>
      <w:r>
        <w:instrText xml:space="preserve"> HYPERLINK "file:///C:/Users/gaoting/Desktop/近日工作/无氰电铸硬足金饰品工艺参数规范（讨论后）修改第一稿3.4.docx" \l "_Toc261613817" </w:instrText>
      </w:r>
      <w:r>
        <w:fldChar w:fldCharType="separate"/>
      </w:r>
      <w:r>
        <w:rPr>
          <w:rFonts w:hint="eastAsia"/>
          <w:sz w:val="21"/>
          <w:szCs w:val="21"/>
          <w:lang w:val="en-US" w:eastAsia="zh-CN"/>
        </w:rPr>
        <w:t xml:space="preserve">附录A  </w:t>
      </w:r>
      <w:r>
        <w:rPr>
          <w:rFonts w:hint="eastAsia"/>
          <w:sz w:val="21"/>
          <w:szCs w:val="21"/>
        </w:rPr>
        <w:t>CNAS认证认可的检测机构名称</w:t>
      </w:r>
      <w:r>
        <w:rPr>
          <w:rStyle w:val="41"/>
          <w:color w:val="auto"/>
          <w:sz w:val="21"/>
          <w:u w:val="none"/>
        </w:rPr>
        <w:tab/>
      </w:r>
      <w:r>
        <w:rPr>
          <w:rStyle w:val="41"/>
          <w:rFonts w:hint="eastAsia"/>
          <w:color w:val="auto"/>
          <w:sz w:val="21"/>
          <w:u w:val="none"/>
          <w:lang w:val="en-US" w:eastAsia="zh-CN"/>
        </w:rPr>
        <w:t>7</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rStyle w:val="41"/>
          <w:rFonts w:hint="default" w:eastAsia="宋体"/>
          <w:color w:val="auto"/>
          <w:sz w:val="21"/>
          <w:u w:val="none"/>
          <w:lang w:val="en-US" w:eastAsia="zh-CN"/>
        </w:rPr>
      </w:pPr>
      <w:r>
        <w:rPr>
          <w:rStyle w:val="41"/>
          <w:rFonts w:hint="eastAsia"/>
          <w:color w:val="auto"/>
          <w:sz w:val="21"/>
          <w:u w:val="none"/>
          <w:lang w:val="en-US" w:eastAsia="zh-CN"/>
        </w:rPr>
        <w:t>参考文献</w:t>
      </w:r>
      <w:r>
        <w:rPr>
          <w:rStyle w:val="41"/>
          <w:color w:val="auto"/>
          <w:sz w:val="21"/>
          <w:u w:val="none"/>
        </w:rPr>
        <w:tab/>
      </w:r>
      <w:r>
        <w:rPr>
          <w:rStyle w:val="41"/>
          <w:rFonts w:hint="eastAsia"/>
          <w:color w:val="auto"/>
          <w:sz w:val="21"/>
          <w:u w:val="none"/>
          <w:lang w:val="en-US" w:eastAsia="zh-CN"/>
        </w:rPr>
        <w:t>12</w:t>
      </w:r>
    </w:p>
    <w:p>
      <w:bookmarkStart w:id="40" w:name="_GoBack"/>
      <w:bookmarkEnd w:id="40"/>
    </w:p>
    <w:p>
      <w:pPr>
        <w:pStyle w:val="120"/>
      </w:pPr>
      <w:r>
        <w:rPr>
          <w:rFonts w:ascii="Times New Roman" w:eastAsia="宋体"/>
          <w:kern w:val="2"/>
          <w:sz w:val="21"/>
          <w:szCs w:val="24"/>
        </w:rPr>
        <w:fldChar w:fldCharType="end"/>
      </w:r>
      <w:r>
        <w:rPr>
          <w:rFonts w:hint="eastAsia"/>
        </w:rPr>
        <w:t>前</w:t>
      </w:r>
      <w:r>
        <w:rPr>
          <w:rFonts w:hAnsi="黑体"/>
        </w:rPr>
        <w:t>  </w:t>
      </w:r>
      <w:r>
        <w:rPr>
          <w:rFonts w:hint="eastAsia"/>
        </w:rPr>
        <w:t>言</w:t>
      </w:r>
    </w:p>
    <w:p>
      <w:pPr>
        <w:ind w:firstLine="435"/>
        <w:rPr>
          <w:rFonts w:ascii="宋体" w:hAnsi="宋体"/>
        </w:rPr>
      </w:pPr>
      <w:r>
        <w:rPr>
          <w:rFonts w:hint="eastAsia" w:ascii="宋体" w:hAnsi="宋体"/>
        </w:rPr>
        <w:t>本文件按照</w:t>
      </w:r>
      <w:r>
        <w:rPr>
          <w:rFonts w:ascii="宋体" w:hAnsi="宋体"/>
        </w:rPr>
        <w:t>GB/T 1.1</w:t>
      </w:r>
      <w:r>
        <w:rPr>
          <w:rFonts w:hint="eastAsia" w:ascii="宋体" w:hAnsi="宋体"/>
          <w:lang w:val="en-US" w:eastAsia="zh-CN"/>
        </w:rPr>
        <w:t>-</w:t>
      </w:r>
      <w:r>
        <w:rPr>
          <w:rFonts w:ascii="宋体" w:hAnsi="宋体"/>
        </w:rPr>
        <w:t>20</w:t>
      </w:r>
      <w:r>
        <w:rPr>
          <w:rFonts w:hint="eastAsia" w:ascii="宋体" w:hAnsi="宋体"/>
        </w:rPr>
        <w:t xml:space="preserve">20《标准化工作导则 </w:t>
      </w:r>
      <w:r>
        <w:rPr>
          <w:rFonts w:ascii="宋体" w:hAnsi="宋体"/>
        </w:rPr>
        <w:t xml:space="preserve"> </w:t>
      </w:r>
      <w:r>
        <w:rPr>
          <w:rFonts w:hint="eastAsia" w:ascii="宋体" w:hAnsi="宋体"/>
        </w:rPr>
        <w:t>第1部分：标准化文件的结构和起草规则》的规定起草。</w:t>
      </w:r>
    </w:p>
    <w:p>
      <w:pPr>
        <w:pStyle w:val="24"/>
        <w:rPr>
          <w:rFonts w:hAnsi="宋体"/>
        </w:rPr>
      </w:pPr>
      <w:r>
        <w:rPr>
          <w:rFonts w:hint="eastAsia" w:hAnsi="宋体"/>
        </w:rPr>
        <w:t>本文件由</w:t>
      </w:r>
      <w:r>
        <w:rPr>
          <w:rFonts w:hint="eastAsia" w:ascii="宋体" w:hAnsi="宋体"/>
          <w:szCs w:val="21"/>
          <w:lang w:val="en-US" w:eastAsia="zh-CN"/>
        </w:rPr>
        <w:t>深圳市宝联珠宝标准与信息技术促进中心</w:t>
      </w:r>
      <w:r>
        <w:rPr>
          <w:rFonts w:hint="eastAsia" w:hAnsi="宋体"/>
        </w:rPr>
        <w:t>提出。</w:t>
      </w:r>
    </w:p>
    <w:p>
      <w:pPr>
        <w:pStyle w:val="24"/>
        <w:rPr>
          <w:rFonts w:hAnsi="宋体"/>
        </w:rPr>
      </w:pPr>
      <w:r>
        <w:rPr>
          <w:rFonts w:hint="eastAsia" w:hAnsi="宋体"/>
        </w:rPr>
        <w:t>本文件由深圳市</w:t>
      </w:r>
      <w:r>
        <w:rPr>
          <w:rFonts w:hint="eastAsia" w:hAnsi="宋体"/>
          <w:lang w:val="en-US" w:eastAsia="zh-CN"/>
        </w:rPr>
        <w:t>深圳标准促进会</w:t>
      </w:r>
      <w:r>
        <w:rPr>
          <w:rFonts w:hint="eastAsia" w:hAnsi="宋体"/>
        </w:rPr>
        <w:t>归口。</w:t>
      </w:r>
    </w:p>
    <w:p>
      <w:pPr>
        <w:ind w:firstLine="420" w:firstLineChars="200"/>
        <w:rPr>
          <w:rFonts w:ascii="宋体" w:hAnsi="宋体"/>
          <w:szCs w:val="21"/>
        </w:rPr>
      </w:pPr>
      <w:r>
        <w:rPr>
          <w:rFonts w:hint="eastAsia" w:ascii="宋体" w:hAnsi="宋体"/>
          <w:szCs w:val="21"/>
        </w:rPr>
        <w:t>本</w:t>
      </w:r>
      <w:r>
        <w:rPr>
          <w:rFonts w:hint="eastAsia" w:hAnsi="宋体"/>
        </w:rPr>
        <w:t>文件</w:t>
      </w:r>
      <w:r>
        <w:rPr>
          <w:rFonts w:hint="eastAsia" w:ascii="宋体" w:hAnsi="宋体"/>
          <w:szCs w:val="21"/>
        </w:rPr>
        <w:t>起草单位：</w:t>
      </w:r>
    </w:p>
    <w:p>
      <w:pPr>
        <w:ind w:firstLine="420" w:firstLineChars="200"/>
        <w:rPr>
          <w:rFonts w:hint="eastAsia" w:ascii="宋体" w:hAnsi="宋体" w:eastAsia="宋体"/>
          <w:szCs w:val="21"/>
          <w:lang w:val="en-US" w:eastAsia="zh-CN"/>
        </w:rPr>
      </w:pPr>
      <w:r>
        <w:rPr>
          <w:rFonts w:hint="eastAsia" w:ascii="宋体" w:hAnsi="宋体"/>
          <w:szCs w:val="21"/>
        </w:rPr>
        <w:t>本文件主要起草人：</w:t>
      </w:r>
    </w:p>
    <w:p/>
    <w:p/>
    <w:p/>
    <w:p/>
    <w:p/>
    <w:p/>
    <w:p/>
    <w:p/>
    <w:p/>
    <w:p/>
    <w:p/>
    <w:p/>
    <w:p/>
    <w:p/>
    <w:p/>
    <w:p/>
    <w:p/>
    <w:p/>
    <w:p/>
    <w:p/>
    <w:p/>
    <w:p/>
    <w:p/>
    <w:p/>
    <w:p>
      <w:pPr>
        <w:pStyle w:val="124"/>
        <w:jc w:val="both"/>
        <w:sectPr>
          <w:headerReference r:id="rId5" w:type="default"/>
          <w:footerReference r:id="rId6"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p>
    <w:p>
      <w:pPr>
        <w:pStyle w:val="124"/>
      </w:pPr>
      <w:r>
        <w:rPr>
          <w:rFonts w:hint="eastAsia"/>
        </w:rPr>
        <w:t>珠</w:t>
      </w:r>
      <w:bookmarkStart w:id="7" w:name="StandardName"/>
      <w:r>
        <w:rPr>
          <w:rFonts w:hint="eastAsia"/>
        </w:rPr>
        <w:t>宝饰品网上交易服务</w:t>
      </w:r>
      <w:bookmarkEnd w:id="7"/>
      <w:r>
        <w:rPr>
          <w:rFonts w:hint="eastAsia"/>
        </w:rPr>
        <w:t>经营规范</w:t>
      </w:r>
    </w:p>
    <w:p>
      <w:pPr>
        <w:pStyle w:val="50"/>
        <w:spacing w:before="312" w:after="312"/>
      </w:pPr>
      <w:r>
        <w:rPr>
          <w:rFonts w:hint="eastAsia"/>
        </w:rPr>
        <w:t>范围</w:t>
      </w:r>
    </w:p>
    <w:p>
      <w:pPr>
        <w:pStyle w:val="144"/>
        <w:ind w:firstLine="420"/>
        <w:rPr>
          <w:rFonts w:hint="default" w:ascii="Times New Roman" w:hAnsi="Times New Roman" w:cs="Times New Roman"/>
          <w:highlight w:val="none"/>
        </w:rPr>
      </w:pPr>
      <w:r>
        <w:rPr>
          <w:rFonts w:hint="eastAsia"/>
        </w:rPr>
        <w:t>本文件规定了珠宝饰品网上交易的基本原则、交易主体要求、网上交易安全要求、产品要求、信息展示要求、交易服务要求、交易信用评价管理、网上交易检测和追溯</w:t>
      </w:r>
      <w:r>
        <w:rPr>
          <w:rFonts w:hint="default" w:ascii="Times New Roman" w:hAnsi="Times New Roman" w:cs="Times New Roman"/>
          <w:highlight w:val="none"/>
        </w:rPr>
        <w:t>。</w:t>
      </w:r>
    </w:p>
    <w:p>
      <w:pPr>
        <w:pStyle w:val="24"/>
        <w:rPr>
          <w:rFonts w:hAnsi="宋体"/>
          <w:szCs w:val="21"/>
        </w:rPr>
      </w:pPr>
      <w:r>
        <w:rPr>
          <w:rFonts w:hint="eastAsia"/>
        </w:rPr>
        <w:t>本文件适用于珠宝饰品电子商务平台站内经营者等电子商务交易主体。</w:t>
      </w:r>
    </w:p>
    <w:p>
      <w:pPr>
        <w:pStyle w:val="50"/>
        <w:spacing w:before="312" w:after="312"/>
      </w:pPr>
      <w:r>
        <w:rPr>
          <w:rFonts w:hint="eastAsia"/>
        </w:rPr>
        <w:t>规范性引用文件</w:t>
      </w:r>
    </w:p>
    <w:p>
      <w:pPr>
        <w:pStyle w:val="24"/>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4"/>
        <w:rPr>
          <w:rFonts w:hint="eastAsia"/>
        </w:rPr>
      </w:pPr>
      <w:r>
        <w:rPr>
          <w:rFonts w:hint="eastAsia"/>
        </w:rPr>
        <w:t>GB 11887</w:t>
      </w:r>
      <w:r>
        <w:rPr>
          <w:rFonts w:hint="eastAsia"/>
          <w:lang w:val="en-US" w:eastAsia="zh-CN"/>
        </w:rPr>
        <w:t xml:space="preserve">  </w:t>
      </w:r>
      <w:r>
        <w:rPr>
          <w:rFonts w:hint="eastAsia"/>
        </w:rPr>
        <w:t xml:space="preserve">首饰 </w:t>
      </w:r>
      <w:r>
        <w:rPr>
          <w:rFonts w:hint="eastAsia"/>
          <w:lang w:val="en-US" w:eastAsia="zh-CN"/>
        </w:rPr>
        <w:t xml:space="preserve"> </w:t>
      </w:r>
      <w:r>
        <w:rPr>
          <w:rFonts w:hint="eastAsia"/>
        </w:rPr>
        <w:t>贵金属纯度的规定及命名方法</w:t>
      </w:r>
    </w:p>
    <w:p>
      <w:pPr>
        <w:pStyle w:val="24"/>
        <w:rPr>
          <w:rFonts w:hint="eastAsia"/>
        </w:rPr>
      </w:pPr>
      <w:r>
        <w:rPr>
          <w:rFonts w:hint="eastAsia"/>
        </w:rPr>
        <w:t>GB 12904</w:t>
      </w:r>
      <w:r>
        <w:rPr>
          <w:rFonts w:hint="eastAsia"/>
          <w:lang w:val="en-US" w:eastAsia="zh-CN"/>
        </w:rPr>
        <w:t xml:space="preserve">  </w:t>
      </w:r>
      <w:r>
        <w:rPr>
          <w:rFonts w:hint="eastAsia"/>
        </w:rPr>
        <w:t>商品条码</w:t>
      </w:r>
      <w:r>
        <w:rPr>
          <w:rFonts w:hint="eastAsia"/>
          <w:lang w:val="en-US" w:eastAsia="zh-CN"/>
        </w:rPr>
        <w:t xml:space="preserve">  </w:t>
      </w:r>
      <w:r>
        <w:rPr>
          <w:rFonts w:hint="eastAsia"/>
        </w:rPr>
        <w:t>零售商品编码与条码表示</w:t>
      </w:r>
    </w:p>
    <w:p>
      <w:pPr>
        <w:pStyle w:val="24"/>
        <w:rPr>
          <w:rFonts w:hint="eastAsia"/>
        </w:rPr>
      </w:pPr>
      <w:r>
        <w:rPr>
          <w:rFonts w:hint="eastAsia"/>
        </w:rPr>
        <w:t>GB/T 16552</w:t>
      </w:r>
      <w:r>
        <w:rPr>
          <w:rFonts w:hint="eastAsia"/>
          <w:lang w:val="en-US" w:eastAsia="zh-CN"/>
        </w:rPr>
        <w:t xml:space="preserve">  </w:t>
      </w:r>
      <w:r>
        <w:rPr>
          <w:rFonts w:hint="eastAsia"/>
        </w:rPr>
        <w:t xml:space="preserve">珠宝玉石 </w:t>
      </w:r>
      <w:r>
        <w:rPr>
          <w:rFonts w:hint="eastAsia"/>
          <w:lang w:val="en-US" w:eastAsia="zh-CN"/>
        </w:rPr>
        <w:t xml:space="preserve"> </w:t>
      </w:r>
      <w:r>
        <w:rPr>
          <w:rFonts w:hint="eastAsia"/>
        </w:rPr>
        <w:t>名称</w:t>
      </w:r>
    </w:p>
    <w:p>
      <w:pPr>
        <w:pStyle w:val="24"/>
        <w:rPr>
          <w:rFonts w:hint="eastAsia"/>
        </w:rPr>
      </w:pPr>
      <w:r>
        <w:rPr>
          <w:rFonts w:hint="eastAsia"/>
        </w:rPr>
        <w:t>GB/T 17242</w:t>
      </w:r>
      <w:r>
        <w:rPr>
          <w:rFonts w:hint="eastAsia"/>
          <w:lang w:val="en-US" w:eastAsia="zh-CN"/>
        </w:rPr>
        <w:t xml:space="preserve">  </w:t>
      </w:r>
      <w:r>
        <w:rPr>
          <w:rFonts w:hint="eastAsia"/>
        </w:rPr>
        <w:t>投诉处理指南</w:t>
      </w:r>
    </w:p>
    <w:p>
      <w:pPr>
        <w:pStyle w:val="24"/>
        <w:rPr>
          <w:rFonts w:hint="eastAsia"/>
        </w:rPr>
      </w:pPr>
      <w:r>
        <w:rPr>
          <w:rFonts w:hint="eastAsia"/>
        </w:rPr>
        <w:t>GB 28480</w:t>
      </w:r>
      <w:r>
        <w:rPr>
          <w:rFonts w:hint="eastAsia"/>
          <w:lang w:val="en-US" w:eastAsia="zh-CN"/>
        </w:rPr>
        <w:t xml:space="preserve">  </w:t>
      </w:r>
      <w:r>
        <w:rPr>
          <w:rFonts w:hint="eastAsia"/>
        </w:rPr>
        <w:t>饰品</w:t>
      </w:r>
      <w:r>
        <w:rPr>
          <w:rFonts w:hint="eastAsia"/>
          <w:lang w:val="en-US" w:eastAsia="zh-CN"/>
        </w:rPr>
        <w:t xml:space="preserve"> </w:t>
      </w:r>
      <w:r>
        <w:rPr>
          <w:rFonts w:hint="eastAsia"/>
        </w:rPr>
        <w:t xml:space="preserve"> 有害元素限量的规定</w:t>
      </w:r>
    </w:p>
    <w:p>
      <w:pPr>
        <w:pStyle w:val="24"/>
        <w:rPr>
          <w:rFonts w:hint="eastAsia"/>
        </w:rPr>
      </w:pPr>
      <w:r>
        <w:rPr>
          <w:rFonts w:hint="eastAsia"/>
        </w:rPr>
        <w:t>GB/T 31524</w:t>
      </w:r>
      <w:r>
        <w:rPr>
          <w:rFonts w:hint="eastAsia"/>
          <w:lang w:val="en-US" w:eastAsia="zh-CN"/>
        </w:rPr>
        <w:t xml:space="preserve">  </w:t>
      </w:r>
      <w:r>
        <w:rPr>
          <w:rFonts w:hint="eastAsia"/>
        </w:rPr>
        <w:t>电子商务平台运营与技术规范</w:t>
      </w:r>
    </w:p>
    <w:p>
      <w:pPr>
        <w:pStyle w:val="24"/>
        <w:rPr>
          <w:rFonts w:hint="eastAsia"/>
        </w:rPr>
      </w:pPr>
      <w:r>
        <w:rPr>
          <w:rFonts w:hint="eastAsia"/>
        </w:rPr>
        <w:t>GB/T 31526</w:t>
      </w:r>
      <w:r>
        <w:rPr>
          <w:rFonts w:hint="eastAsia"/>
          <w:lang w:val="en-US" w:eastAsia="zh-CN"/>
        </w:rPr>
        <w:t xml:space="preserve">  </w:t>
      </w:r>
      <w:r>
        <w:rPr>
          <w:rFonts w:hint="eastAsia"/>
        </w:rPr>
        <w:t>电子商务平台服务质量评价与等级划分</w:t>
      </w:r>
    </w:p>
    <w:p>
      <w:pPr>
        <w:pStyle w:val="24"/>
        <w:rPr>
          <w:rFonts w:hint="eastAsia"/>
        </w:rPr>
      </w:pPr>
      <w:r>
        <w:rPr>
          <w:rFonts w:hint="eastAsia"/>
        </w:rPr>
        <w:t xml:space="preserve">GB/T 31782 </w:t>
      </w:r>
      <w:r>
        <w:rPr>
          <w:rFonts w:hint="eastAsia"/>
          <w:lang w:val="en-US" w:eastAsia="zh-CN"/>
        </w:rPr>
        <w:t xml:space="preserve"> </w:t>
      </w:r>
      <w:r>
        <w:rPr>
          <w:rFonts w:hint="eastAsia"/>
        </w:rPr>
        <w:t>电子商务可信交易要求</w:t>
      </w:r>
    </w:p>
    <w:p>
      <w:pPr>
        <w:pStyle w:val="24"/>
        <w:rPr>
          <w:rFonts w:hint="eastAsia"/>
        </w:rPr>
      </w:pPr>
      <w:r>
        <w:rPr>
          <w:rFonts w:hint="eastAsia"/>
        </w:rPr>
        <w:t xml:space="preserve">GB/T 31912 </w:t>
      </w:r>
      <w:r>
        <w:rPr>
          <w:rFonts w:hint="eastAsia"/>
          <w:lang w:val="en-US" w:eastAsia="zh-CN"/>
        </w:rPr>
        <w:t xml:space="preserve"> </w:t>
      </w:r>
      <w:r>
        <w:rPr>
          <w:rFonts w:hint="eastAsia"/>
        </w:rPr>
        <w:t xml:space="preserve">饰品 </w:t>
      </w:r>
      <w:r>
        <w:rPr>
          <w:rFonts w:hint="eastAsia"/>
          <w:lang w:val="en-US" w:eastAsia="zh-CN"/>
        </w:rPr>
        <w:t xml:space="preserve"> </w:t>
      </w:r>
      <w:r>
        <w:rPr>
          <w:rFonts w:hint="eastAsia"/>
        </w:rPr>
        <w:t>标识</w:t>
      </w:r>
    </w:p>
    <w:p>
      <w:pPr>
        <w:pStyle w:val="24"/>
        <w:rPr>
          <w:rFonts w:hint="eastAsia"/>
        </w:rPr>
      </w:pPr>
      <w:r>
        <w:rPr>
          <w:rFonts w:hint="eastAsia"/>
        </w:rPr>
        <w:t xml:space="preserve">GB/T 32866 </w:t>
      </w:r>
      <w:r>
        <w:rPr>
          <w:rFonts w:hint="eastAsia"/>
          <w:lang w:val="en-US" w:eastAsia="zh-CN"/>
        </w:rPr>
        <w:t xml:space="preserve"> </w:t>
      </w:r>
      <w:r>
        <w:rPr>
          <w:rFonts w:hint="eastAsia"/>
        </w:rPr>
        <w:t>电子商务产品质量信息规范通则</w:t>
      </w:r>
    </w:p>
    <w:p>
      <w:pPr>
        <w:pStyle w:val="24"/>
        <w:rPr>
          <w:rFonts w:hint="eastAsia"/>
        </w:rPr>
      </w:pPr>
      <w:r>
        <w:rPr>
          <w:rFonts w:hint="eastAsia"/>
        </w:rPr>
        <w:t xml:space="preserve">GB/T 32873 </w:t>
      </w:r>
      <w:r>
        <w:rPr>
          <w:rFonts w:hint="eastAsia"/>
          <w:lang w:val="en-US" w:eastAsia="zh-CN"/>
        </w:rPr>
        <w:t xml:space="preserve"> </w:t>
      </w:r>
      <w:r>
        <w:rPr>
          <w:rFonts w:hint="eastAsia"/>
        </w:rPr>
        <w:t>电子商务主体基本信息规范</w:t>
      </w:r>
    </w:p>
    <w:p>
      <w:pPr>
        <w:pStyle w:val="24"/>
        <w:rPr>
          <w:rFonts w:hint="eastAsia"/>
        </w:rPr>
      </w:pPr>
      <w:r>
        <w:rPr>
          <w:rFonts w:hint="eastAsia"/>
        </w:rPr>
        <w:t xml:space="preserve">GB/T 34058 </w:t>
      </w:r>
      <w:r>
        <w:rPr>
          <w:rFonts w:hint="eastAsia"/>
          <w:lang w:val="en-US" w:eastAsia="zh-CN"/>
        </w:rPr>
        <w:t xml:space="preserve"> </w:t>
      </w:r>
      <w:r>
        <w:rPr>
          <w:rFonts w:hint="eastAsia"/>
        </w:rPr>
        <w:t xml:space="preserve">电子商务信用 </w:t>
      </w:r>
      <w:r>
        <w:rPr>
          <w:rFonts w:hint="eastAsia"/>
          <w:lang w:val="en-US" w:eastAsia="zh-CN"/>
        </w:rPr>
        <w:t xml:space="preserve"> </w:t>
      </w:r>
      <w:r>
        <w:rPr>
          <w:rFonts w:hint="eastAsia"/>
        </w:rPr>
        <w:t>B2B网络交易卖方信用评价指标</w:t>
      </w:r>
    </w:p>
    <w:p>
      <w:pPr>
        <w:pStyle w:val="24"/>
        <w:rPr>
          <w:rFonts w:hint="eastAsia"/>
        </w:rPr>
      </w:pPr>
      <w:r>
        <w:rPr>
          <w:rFonts w:hint="eastAsia"/>
        </w:rPr>
        <w:t xml:space="preserve">GB/T 35408 </w:t>
      </w:r>
      <w:r>
        <w:rPr>
          <w:rFonts w:hint="eastAsia"/>
          <w:lang w:val="en-US" w:eastAsia="zh-CN"/>
        </w:rPr>
        <w:t xml:space="preserve"> </w:t>
      </w:r>
      <w:r>
        <w:rPr>
          <w:rFonts w:hint="eastAsia"/>
        </w:rPr>
        <w:t xml:space="preserve">电子商务质量管理 </w:t>
      </w:r>
      <w:r>
        <w:rPr>
          <w:rFonts w:hint="eastAsia"/>
          <w:lang w:val="en-US" w:eastAsia="zh-CN"/>
        </w:rPr>
        <w:t xml:space="preserve"> </w:t>
      </w:r>
      <w:r>
        <w:rPr>
          <w:rFonts w:hint="eastAsia"/>
        </w:rPr>
        <w:t>术语</w:t>
      </w:r>
    </w:p>
    <w:p>
      <w:pPr>
        <w:pStyle w:val="24"/>
        <w:rPr>
          <w:rFonts w:hint="eastAsia"/>
        </w:rPr>
      </w:pPr>
      <w:r>
        <w:rPr>
          <w:rFonts w:hint="eastAsia"/>
        </w:rPr>
        <w:t xml:space="preserve">GB/T 35409 </w:t>
      </w:r>
      <w:r>
        <w:rPr>
          <w:rFonts w:hint="eastAsia"/>
          <w:lang w:val="en-US" w:eastAsia="zh-CN"/>
        </w:rPr>
        <w:t xml:space="preserve"> </w:t>
      </w:r>
      <w:r>
        <w:rPr>
          <w:rFonts w:hint="eastAsia"/>
        </w:rPr>
        <w:t>电子商务平台商家入驻审核规范</w:t>
      </w:r>
    </w:p>
    <w:p>
      <w:pPr>
        <w:pStyle w:val="24"/>
        <w:rPr>
          <w:rFonts w:hint="eastAsia"/>
        </w:rPr>
      </w:pPr>
      <w:r>
        <w:rPr>
          <w:rFonts w:hint="eastAsia"/>
        </w:rPr>
        <w:t xml:space="preserve">GB/T 35411 </w:t>
      </w:r>
      <w:r>
        <w:rPr>
          <w:rFonts w:hint="eastAsia"/>
          <w:lang w:val="en-US" w:eastAsia="zh-CN"/>
        </w:rPr>
        <w:t xml:space="preserve"> </w:t>
      </w:r>
      <w:r>
        <w:rPr>
          <w:rFonts w:hint="eastAsia"/>
        </w:rPr>
        <w:t>电子商务平台产品信息展示要求</w:t>
      </w:r>
    </w:p>
    <w:p>
      <w:pPr>
        <w:pStyle w:val="24"/>
        <w:rPr>
          <w:rFonts w:hint="eastAsia"/>
        </w:rPr>
      </w:pPr>
      <w:r>
        <w:rPr>
          <w:rFonts w:hint="eastAsia"/>
        </w:rPr>
        <w:t xml:space="preserve">GB/T 37401 </w:t>
      </w:r>
      <w:r>
        <w:rPr>
          <w:rFonts w:hint="eastAsia"/>
          <w:lang w:val="en-US" w:eastAsia="zh-CN"/>
        </w:rPr>
        <w:t xml:space="preserve"> </w:t>
      </w:r>
      <w:r>
        <w:rPr>
          <w:rFonts w:hint="eastAsia"/>
        </w:rPr>
        <w:t>电子商务平台服务保障技术要求</w:t>
      </w:r>
    </w:p>
    <w:p>
      <w:pPr>
        <w:pStyle w:val="24"/>
        <w:rPr>
          <w:rFonts w:hint="eastAsia"/>
        </w:rPr>
      </w:pPr>
      <w:r>
        <w:rPr>
          <w:rFonts w:hint="eastAsia"/>
        </w:rPr>
        <w:t xml:space="preserve">SB/T 10409 </w:t>
      </w:r>
      <w:r>
        <w:rPr>
          <w:rFonts w:hint="eastAsia"/>
          <w:lang w:val="en-US" w:eastAsia="zh-CN"/>
        </w:rPr>
        <w:t xml:space="preserve"> </w:t>
      </w:r>
      <w:r>
        <w:rPr>
          <w:rFonts w:hint="eastAsia"/>
        </w:rPr>
        <w:t>商业服务业顾客满意度测评规范</w:t>
      </w:r>
    </w:p>
    <w:p>
      <w:pPr>
        <w:pStyle w:val="24"/>
        <w:rPr>
          <w:rFonts w:hint="eastAsia"/>
        </w:rPr>
      </w:pPr>
      <w:r>
        <w:rPr>
          <w:rFonts w:hint="eastAsia"/>
        </w:rPr>
        <w:t xml:space="preserve">SZDB/Z 344 </w:t>
      </w:r>
      <w:r>
        <w:rPr>
          <w:rFonts w:hint="eastAsia"/>
          <w:lang w:val="en-US" w:eastAsia="zh-CN"/>
        </w:rPr>
        <w:t xml:space="preserve"> </w:t>
      </w:r>
      <w:r>
        <w:rPr>
          <w:rFonts w:hint="eastAsia"/>
        </w:rPr>
        <w:t>电子商务企业信用评价准则</w:t>
      </w:r>
    </w:p>
    <w:p>
      <w:pPr>
        <w:pStyle w:val="24"/>
        <w:rPr>
          <w:rFonts w:hint="eastAsia"/>
        </w:rPr>
      </w:pPr>
      <w:r>
        <w:rPr>
          <w:rFonts w:hint="eastAsia"/>
        </w:rPr>
        <w:t xml:space="preserve">SZDB/Z 346 </w:t>
      </w:r>
      <w:r>
        <w:rPr>
          <w:rFonts w:hint="eastAsia"/>
          <w:lang w:val="en-US" w:eastAsia="zh-CN"/>
        </w:rPr>
        <w:t xml:space="preserve"> </w:t>
      </w:r>
      <w:r>
        <w:rPr>
          <w:rFonts w:hint="eastAsia"/>
        </w:rPr>
        <w:t>电子商务在线纠纷解决服务规范</w:t>
      </w:r>
    </w:p>
    <w:p>
      <w:pPr>
        <w:pStyle w:val="50"/>
        <w:numPr>
          <w:ilvl w:val="0"/>
          <w:numId w:val="0"/>
        </w:numPr>
        <w:ind w:leftChars="0"/>
        <w:rPr>
          <w:rFonts w:hint="eastAsia"/>
        </w:rPr>
      </w:pPr>
      <w:r>
        <w:rPr>
          <w:rFonts w:hint="eastAsia"/>
          <w:lang w:val="en-US" w:eastAsia="zh-CN"/>
        </w:rPr>
        <w:t xml:space="preserve">3  </w:t>
      </w:r>
      <w:r>
        <w:rPr>
          <w:rFonts w:hint="eastAsia"/>
        </w:rPr>
        <w:t>术语和定义</w:t>
      </w:r>
    </w:p>
    <w:p>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textAlignment w:val="auto"/>
        <w:rPr>
          <w:rFonts w:hint="eastAsia"/>
        </w:rPr>
      </w:pPr>
      <w:r>
        <w:rPr>
          <w:rFonts w:hint="eastAsia"/>
        </w:rPr>
        <w:t>下列术语和定义适用于本文件。</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w:t>
      </w:r>
    </w:p>
    <w:p>
      <w:pPr>
        <w:pStyle w:val="24"/>
        <w:rPr>
          <w:rFonts w:ascii="黑体" w:hAnsi="黑体" w:eastAsia="黑体"/>
        </w:rPr>
      </w:pPr>
      <w:r>
        <w:rPr>
          <w:rFonts w:hint="eastAsia" w:ascii="黑体" w:hAnsi="黑体" w:eastAsia="黑体"/>
          <w:lang w:val="en-US" w:eastAsia="zh-CN"/>
        </w:rPr>
        <w:t>珠宝饰品  gems ornaments</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由贵金属及珠宝玉石等材料制成的首饰和摆件。</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3.2</w:t>
      </w:r>
    </w:p>
    <w:p>
      <w:pPr>
        <w:pStyle w:val="24"/>
        <w:rPr>
          <w:rFonts w:ascii="黑体" w:hAnsi="黑体" w:eastAsia="黑体"/>
        </w:rPr>
      </w:pPr>
      <w:r>
        <w:rPr>
          <w:rFonts w:hint="eastAsia" w:ascii="黑体" w:hAnsi="黑体" w:eastAsia="黑体"/>
        </w:rPr>
        <w:t>网上交易服务</w:t>
      </w:r>
      <w:r>
        <w:rPr>
          <w:rFonts w:hint="eastAsia" w:ascii="黑体" w:hAnsi="黑体" w:eastAsia="黑体"/>
          <w:lang w:val="en-US" w:eastAsia="zh-CN"/>
        </w:rPr>
        <w:t xml:space="preserve">  </w:t>
      </w:r>
      <w:r>
        <w:rPr>
          <w:rFonts w:ascii="黑体" w:hAnsi="黑体" w:eastAsia="黑体"/>
        </w:rPr>
        <w:t>online trading service</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买卖双方通过网络通信手段缔结的交易中所必须的各项服务。</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3.3</w:t>
      </w:r>
    </w:p>
    <w:p>
      <w:pPr>
        <w:pStyle w:val="24"/>
        <w:rPr>
          <w:rFonts w:ascii="黑体" w:hAnsi="黑体" w:eastAsia="黑体"/>
        </w:rPr>
      </w:pPr>
      <w:r>
        <w:rPr>
          <w:rFonts w:hint="eastAsia" w:ascii="黑体" w:hAnsi="黑体" w:eastAsia="黑体"/>
        </w:rPr>
        <w:t>交易主体</w:t>
      </w:r>
      <w:r>
        <w:rPr>
          <w:rFonts w:hint="eastAsia" w:ascii="黑体" w:hAnsi="黑体" w:eastAsia="黑体"/>
          <w:lang w:val="en-US" w:eastAsia="zh-CN"/>
        </w:rPr>
        <w:t xml:space="preserve">  </w:t>
      </w:r>
      <w:r>
        <w:rPr>
          <w:rFonts w:ascii="黑体" w:hAnsi="黑体" w:eastAsia="黑体"/>
        </w:rPr>
        <w:t>transaction subject</w:t>
      </w:r>
      <w:r>
        <w:rPr>
          <w:rFonts w:ascii="黑体" w:hAnsi="黑体" w:eastAsia="黑体"/>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利用电子商务平台参与网上交易的各方</w:t>
      </w:r>
    </w:p>
    <w:p>
      <w:pPr>
        <w:pStyle w:val="24"/>
        <w:keepNext w:val="0"/>
        <w:keepLines w:val="0"/>
        <w:pageBreakBefore w:val="0"/>
        <w:widowControl/>
        <w:kinsoku/>
        <w:wordWrap/>
        <w:overflowPunct/>
        <w:topLinePunct w:val="0"/>
        <w:autoSpaceDE w:val="0"/>
        <w:autoSpaceDN w:val="0"/>
        <w:bidi w:val="0"/>
        <w:adjustRightInd/>
        <w:snapToGrid/>
        <w:ind w:left="0" w:leftChars="0" w:firstLine="360" w:firstLineChars="200"/>
        <w:textAlignment w:val="auto"/>
        <w:rPr>
          <w:rFonts w:hint="eastAsia"/>
          <w:sz w:val="18"/>
          <w:szCs w:val="18"/>
        </w:rPr>
      </w:pPr>
      <w:r>
        <w:rPr>
          <w:rFonts w:hint="eastAsia" w:ascii="黑体" w:hAnsi="黑体" w:eastAsia="黑体" w:cs="黑体"/>
          <w:sz w:val="18"/>
          <w:szCs w:val="18"/>
          <w:lang w:val="en-US" w:eastAsia="zh-CN"/>
        </w:rPr>
        <w:t>注：</w:t>
      </w:r>
      <w:r>
        <w:rPr>
          <w:rFonts w:hint="eastAsia"/>
          <w:sz w:val="18"/>
          <w:szCs w:val="18"/>
          <w:lang w:val="en-US" w:eastAsia="zh-CN"/>
        </w:rPr>
        <w:t>交易主体</w:t>
      </w:r>
      <w:r>
        <w:rPr>
          <w:rFonts w:hint="eastAsia"/>
          <w:sz w:val="18"/>
          <w:szCs w:val="18"/>
        </w:rPr>
        <w:t>包括电子商务平台运营商、服务商、卖方和买方等组织或个人。</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3.3.1</w:t>
      </w:r>
    </w:p>
    <w:p>
      <w:pPr>
        <w:pStyle w:val="24"/>
        <w:rPr>
          <w:rFonts w:ascii="黑体" w:hAnsi="黑体" w:eastAsia="黑体"/>
        </w:rPr>
      </w:pPr>
      <w:r>
        <w:rPr>
          <w:rFonts w:hint="eastAsia" w:ascii="黑体" w:hAnsi="黑体" w:eastAsia="黑体"/>
          <w:lang w:val="en-US" w:eastAsia="zh-CN"/>
        </w:rPr>
        <w:t>运营商  operator</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在电子商务平台中，向买方提供产品和服务的组织。</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3.3.2</w:t>
      </w:r>
    </w:p>
    <w:p>
      <w:pPr>
        <w:pStyle w:val="24"/>
        <w:rPr>
          <w:rFonts w:ascii="黑体" w:hAnsi="黑体" w:eastAsia="黑体"/>
        </w:rPr>
      </w:pPr>
      <w:r>
        <w:rPr>
          <w:rFonts w:hint="eastAsia" w:ascii="黑体" w:hAnsi="黑体" w:eastAsia="黑体"/>
        </w:rPr>
        <w:t>服务商</w:t>
      </w:r>
      <w:r>
        <w:rPr>
          <w:rFonts w:hint="eastAsia" w:ascii="黑体" w:hAnsi="黑体" w:eastAsia="黑体"/>
          <w:lang w:val="en-US" w:eastAsia="zh-CN"/>
        </w:rPr>
        <w:t xml:space="preserve">  service provider</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依法注册登记的，通过电子商务平台为买家提供配送、支付等服务的组织。</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3.4</w:t>
      </w:r>
    </w:p>
    <w:p>
      <w:pPr>
        <w:pStyle w:val="24"/>
        <w:rPr>
          <w:rFonts w:ascii="黑体" w:hAnsi="黑体" w:eastAsia="黑体"/>
        </w:rPr>
      </w:pPr>
      <w:r>
        <w:rPr>
          <w:rFonts w:hint="eastAsia" w:ascii="黑体" w:hAnsi="黑体" w:eastAsia="黑体"/>
        </w:rPr>
        <w:t>信息展示</w:t>
      </w:r>
      <w:r>
        <w:rPr>
          <w:rFonts w:hint="eastAsia" w:ascii="黑体" w:hAnsi="黑体" w:eastAsia="黑体"/>
          <w:lang w:val="en-US" w:eastAsia="zh-CN"/>
        </w:rPr>
        <w:t xml:space="preserve">  </w:t>
      </w:r>
      <w:r>
        <w:rPr>
          <w:rFonts w:ascii="黑体" w:hAnsi="黑体" w:eastAsia="黑体"/>
        </w:rPr>
        <w:t>information display</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将产品信息和服务信息等在电子商务平台公布，呈现给顾客的活动。</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szCs w:val="21"/>
        </w:rPr>
        <w:t>[来源：GB/T 35408</w:t>
      </w:r>
      <w:r>
        <w:rPr>
          <w:rFonts w:hint="eastAsia"/>
          <w:szCs w:val="21"/>
          <w:lang w:eastAsia="zh-CN"/>
        </w:rPr>
        <w:t>，</w:t>
      </w:r>
      <w:r>
        <w:rPr>
          <w:rFonts w:hint="eastAsia"/>
          <w:szCs w:val="21"/>
        </w:rPr>
        <w:t>定义3.1.5]</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3.5</w:t>
      </w:r>
    </w:p>
    <w:p>
      <w:pPr>
        <w:pStyle w:val="24"/>
        <w:rPr>
          <w:rFonts w:ascii="黑体" w:hAnsi="黑体" w:eastAsia="黑体"/>
        </w:rPr>
      </w:pPr>
      <w:r>
        <w:rPr>
          <w:rFonts w:hint="eastAsia" w:ascii="黑体" w:hAnsi="黑体" w:eastAsia="黑体"/>
        </w:rPr>
        <w:t>服务质量</w:t>
      </w:r>
      <w:r>
        <w:rPr>
          <w:rFonts w:hint="eastAsia" w:ascii="黑体" w:hAnsi="黑体" w:eastAsia="黑体"/>
          <w:lang w:val="en-US" w:eastAsia="zh-CN"/>
        </w:rPr>
        <w:t xml:space="preserve">  service quality</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电子商务平台所提供服务的固有特性能够满足消费者要求的程度。</w:t>
      </w:r>
    </w:p>
    <w:p>
      <w:pPr>
        <w:pStyle w:val="24"/>
        <w:keepNext w:val="0"/>
        <w:keepLines w:val="0"/>
        <w:pageBreakBefore w:val="0"/>
        <w:widowControl/>
        <w:kinsoku/>
        <w:wordWrap/>
        <w:overflowPunct/>
        <w:topLinePunct w:val="0"/>
        <w:autoSpaceDE w:val="0"/>
        <w:autoSpaceDN w:val="0"/>
        <w:bidi w:val="0"/>
        <w:adjustRightInd/>
        <w:snapToGrid/>
        <w:spacing w:afterLines="50"/>
        <w:ind w:left="0" w:leftChars="0" w:firstLine="420" w:firstLineChars="200"/>
        <w:textAlignment w:val="auto"/>
        <w:rPr>
          <w:rFonts w:hint="eastAsia"/>
          <w:szCs w:val="21"/>
        </w:rPr>
      </w:pPr>
      <w:r>
        <w:rPr>
          <w:rFonts w:hint="eastAsia"/>
          <w:szCs w:val="21"/>
        </w:rPr>
        <w:t>[来源：GB/T 31526</w:t>
      </w:r>
      <w:r>
        <w:rPr>
          <w:rFonts w:hint="eastAsia"/>
          <w:szCs w:val="21"/>
          <w:lang w:eastAsia="zh-CN"/>
        </w:rPr>
        <w:t>，</w:t>
      </w:r>
      <w:r>
        <w:rPr>
          <w:rFonts w:hint="eastAsia"/>
          <w:szCs w:val="21"/>
        </w:rPr>
        <w:t>定义3.4]</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3.6</w:t>
      </w:r>
    </w:p>
    <w:p>
      <w:pPr>
        <w:pStyle w:val="24"/>
        <w:rPr>
          <w:rFonts w:ascii="黑体" w:hAnsi="黑体" w:eastAsia="黑体"/>
        </w:rPr>
      </w:pPr>
      <w:r>
        <w:rPr>
          <w:rFonts w:hint="eastAsia" w:ascii="黑体" w:hAnsi="黑体" w:eastAsia="黑体"/>
        </w:rPr>
        <w:t>信用评价</w:t>
      </w:r>
      <w:r>
        <w:rPr>
          <w:rFonts w:hint="eastAsia" w:ascii="黑体" w:hAnsi="黑体" w:eastAsia="黑体"/>
          <w:lang w:val="en-US" w:eastAsia="zh-CN"/>
        </w:rPr>
        <w:t xml:space="preserve">  </w:t>
      </w:r>
      <w:r>
        <w:rPr>
          <w:rFonts w:ascii="黑体" w:hAnsi="黑体" w:eastAsia="黑体"/>
        </w:rPr>
        <w:t>credit evaluating</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根据相应的指标和评价方法，对被评价对象履约的意愿、能力及表现进行评价，并以符号或分数表示其信用状况的一种有组织的行为。</w:t>
      </w:r>
    </w:p>
    <w:p>
      <w:pPr>
        <w:pStyle w:val="24"/>
        <w:keepNext w:val="0"/>
        <w:keepLines w:val="0"/>
        <w:pageBreakBefore w:val="0"/>
        <w:widowControl/>
        <w:kinsoku/>
        <w:wordWrap/>
        <w:overflowPunct/>
        <w:topLinePunct w:val="0"/>
        <w:autoSpaceDE w:val="0"/>
        <w:autoSpaceDN w:val="0"/>
        <w:bidi w:val="0"/>
        <w:adjustRightInd/>
        <w:snapToGrid/>
        <w:spacing w:afterLines="50"/>
        <w:ind w:left="0" w:leftChars="0" w:firstLine="420" w:firstLineChars="200"/>
        <w:textAlignment w:val="auto"/>
        <w:rPr>
          <w:rFonts w:hint="eastAsia"/>
          <w:szCs w:val="21"/>
        </w:rPr>
      </w:pPr>
      <w:r>
        <w:rPr>
          <w:rFonts w:hint="eastAsia"/>
          <w:szCs w:val="21"/>
        </w:rPr>
        <w:t>[来源：GB/T 34058</w:t>
      </w:r>
      <w:r>
        <w:rPr>
          <w:rFonts w:hint="eastAsia"/>
          <w:szCs w:val="21"/>
          <w:lang w:eastAsia="zh-CN"/>
        </w:rPr>
        <w:t>，</w:t>
      </w:r>
      <w:r>
        <w:rPr>
          <w:rFonts w:hint="eastAsia"/>
          <w:szCs w:val="21"/>
        </w:rPr>
        <w:t>定义3.1]</w:t>
      </w:r>
    </w:p>
    <w:p>
      <w:pPr>
        <w:pStyle w:val="50"/>
        <w:keepNext w:val="0"/>
        <w:keepLines w:val="0"/>
        <w:pageBreakBefore w:val="0"/>
        <w:widowControl/>
        <w:numPr>
          <w:ilvl w:val="0"/>
          <w:numId w:val="0"/>
        </w:numPr>
        <w:kinsoku/>
        <w:wordWrap/>
        <w:overflowPunct/>
        <w:topLinePunct w:val="0"/>
        <w:autoSpaceDE/>
        <w:autoSpaceDN/>
        <w:bidi w:val="0"/>
        <w:adjustRightInd/>
        <w:snapToGrid/>
        <w:spacing w:before="312" w:after="312"/>
        <w:ind w:leftChars="0"/>
        <w:textAlignment w:val="auto"/>
        <w:rPr>
          <w:rFonts w:hint="eastAsia" w:ascii="黑体" w:hAnsi="黑体" w:eastAsia="黑体" w:cs="黑体"/>
        </w:rPr>
      </w:pPr>
      <w:r>
        <w:rPr>
          <w:rFonts w:hint="eastAsia" w:ascii="黑体" w:hAnsi="黑体" w:eastAsia="黑体" w:cs="黑体"/>
          <w:highlight w:val="none"/>
          <w:lang w:val="en-US" w:eastAsia="zh-CN"/>
        </w:rPr>
        <w:t xml:space="preserve">4  </w:t>
      </w:r>
      <w:r>
        <w:rPr>
          <w:rFonts w:hint="eastAsia" w:ascii="黑体" w:hAnsi="黑体" w:eastAsia="黑体" w:cs="黑体"/>
          <w:szCs w:val="21"/>
        </w:rPr>
        <w:t>基本原则</w:t>
      </w:r>
    </w:p>
    <w:p>
      <w:pPr>
        <w:pStyle w:val="24"/>
        <w:rPr>
          <w:color w:val="FF0000"/>
        </w:rPr>
      </w:pPr>
      <w:bookmarkStart w:id="8" w:name="_Toc506106849"/>
      <w:bookmarkEnd w:id="8"/>
      <w:r>
        <w:rPr>
          <w:rFonts w:hint="eastAsia"/>
        </w:rPr>
        <w:t>遵循合理、公平、公正、透明交易的原则。</w:t>
      </w:r>
    </w:p>
    <w:p>
      <w:pPr>
        <w:pStyle w:val="50"/>
        <w:numPr>
          <w:ilvl w:val="0"/>
          <w:numId w:val="0"/>
        </w:numPr>
        <w:spacing w:before="312" w:after="312"/>
        <w:ind w:leftChars="0"/>
        <w:rPr>
          <w:rFonts w:hint="eastAsia" w:ascii="黑体" w:hAnsi="黑体" w:eastAsia="黑体" w:cs="黑体"/>
        </w:rPr>
      </w:pPr>
      <w:bookmarkStart w:id="9" w:name="_Toc26708"/>
      <w:r>
        <w:rPr>
          <w:rFonts w:hint="eastAsia" w:ascii="黑体" w:hAnsi="黑体" w:eastAsia="黑体" w:cs="黑体"/>
          <w:lang w:val="en-US" w:eastAsia="zh-CN"/>
        </w:rPr>
        <w:t xml:space="preserve">5  </w:t>
      </w:r>
      <w:r>
        <w:rPr>
          <w:rFonts w:hint="eastAsia" w:ascii="黑体" w:hAnsi="黑体" w:eastAsia="黑体" w:cs="黑体"/>
        </w:rPr>
        <w:t>检验规则</w:t>
      </w:r>
      <w:bookmarkEnd w:id="9"/>
    </w:p>
    <w:p>
      <w:pPr>
        <w:pStyle w:val="67"/>
        <w:numPr>
          <w:ilvl w:val="1"/>
          <w:numId w:val="0"/>
        </w:numPr>
        <w:spacing w:before="156" w:after="156"/>
        <w:ind w:leftChars="0"/>
      </w:pPr>
      <w:bookmarkStart w:id="10" w:name="_Toc29027"/>
      <w:r>
        <w:rPr>
          <w:rFonts w:hint="eastAsia" w:ascii="黑体" w:hAnsi="黑体" w:eastAsia="黑体" w:cs="黑体"/>
          <w:lang w:val="en-US" w:eastAsia="zh-CN"/>
        </w:rPr>
        <w:t xml:space="preserve">5.1  </w:t>
      </w:r>
      <w:bookmarkEnd w:id="10"/>
      <w:r>
        <w:rPr>
          <w:rFonts w:hint="eastAsia" w:ascii="黑体" w:hAnsi="黑体" w:eastAsia="黑体" w:cs="黑体"/>
          <w:lang w:val="en-US" w:eastAsia="zh-CN"/>
        </w:rPr>
        <w:t>卖方</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ascii="黑体" w:hAnsi="黑体" w:eastAsia="宋体" w:cs="黑体"/>
          <w:lang w:val="en-US" w:eastAsia="zh-CN"/>
        </w:rPr>
      </w:pPr>
      <w:r>
        <w:rPr>
          <w:rFonts w:hint="eastAsia" w:hAnsi="宋体"/>
        </w:rPr>
        <w:t>卖方从事网上交易应符合GB/T 35409的规定</w:t>
      </w:r>
      <w:r>
        <w:rPr>
          <w:rFonts w:hint="eastAsia" w:hAnsi="宋体"/>
          <w:lang w:eastAsia="zh-CN"/>
        </w:rPr>
        <w:t>。</w:t>
      </w:r>
    </w:p>
    <w:p>
      <w:pPr>
        <w:pStyle w:val="67"/>
        <w:numPr>
          <w:ilvl w:val="1"/>
          <w:numId w:val="0"/>
        </w:numPr>
        <w:spacing w:before="156" w:after="156"/>
        <w:ind w:leftChars="0"/>
      </w:pPr>
      <w:bookmarkStart w:id="11" w:name="_Toc3903"/>
      <w:r>
        <w:rPr>
          <w:rFonts w:hint="eastAsia" w:hAnsi="黑体" w:cs="黑体"/>
          <w:lang w:val="en-US" w:eastAsia="zh-CN"/>
        </w:rPr>
        <w:t>5</w:t>
      </w:r>
      <w:r>
        <w:rPr>
          <w:rFonts w:hint="eastAsia" w:ascii="黑体" w:hAnsi="黑体" w:eastAsia="黑体" w:cs="黑体"/>
          <w:lang w:val="en-US" w:eastAsia="zh-CN"/>
        </w:rPr>
        <w:t>.</w:t>
      </w:r>
      <w:r>
        <w:rPr>
          <w:rFonts w:hint="eastAsia" w:hAnsi="黑体" w:cs="黑体"/>
          <w:lang w:val="en-US" w:eastAsia="zh-CN"/>
        </w:rPr>
        <w:t>2</w:t>
      </w:r>
      <w:r>
        <w:rPr>
          <w:rFonts w:hint="eastAsia" w:ascii="黑体" w:hAnsi="黑体" w:eastAsia="黑体" w:cs="黑体"/>
          <w:lang w:val="en-US" w:eastAsia="zh-CN"/>
        </w:rPr>
        <w:t xml:space="preserve">  </w:t>
      </w:r>
      <w:bookmarkEnd w:id="11"/>
      <w:r>
        <w:rPr>
          <w:rFonts w:hint="eastAsia" w:ascii="黑体" w:hAnsi="黑体" w:eastAsia="黑体" w:cs="黑体"/>
          <w:lang w:val="en-US" w:eastAsia="zh-CN"/>
        </w:rPr>
        <w:t>平台运营商和服务商</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5</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.1  </w:t>
      </w:r>
      <w:r>
        <w:rPr>
          <w:rFonts w:hint="eastAsia" w:hAnsi="宋体"/>
        </w:rPr>
        <w:t>平台运营商须符合《第三方电子商务交易平台服务规范》的规定</w:t>
      </w:r>
      <w:r>
        <w:rPr>
          <w:rFonts w:hint="eastAsia" w:hAnsi="宋体"/>
          <w:lang w:eastAsia="zh-CN"/>
        </w:rPr>
        <w:t>。</w:t>
      </w:r>
    </w:p>
    <w:p>
      <w:pPr>
        <w:pStyle w:val="24"/>
        <w:spacing w:beforeLines="50" w:afterLines="50"/>
        <w:ind w:firstLine="0" w:firstLineChars="0"/>
        <w:rPr>
          <w:rFonts w:hint="eastAsia"/>
        </w:rPr>
      </w:pPr>
      <w:r>
        <w:rPr>
          <w:rFonts w:hint="eastAsia" w:ascii="黑体" w:hAnsi="黑体" w:eastAsia="黑体" w:cs="黑体"/>
          <w:lang w:val="en-US" w:eastAsia="zh-CN"/>
        </w:rPr>
        <w:t>5</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.2  </w:t>
      </w:r>
      <w:r>
        <w:rPr>
          <w:rFonts w:hint="eastAsia" w:ascii="宋体" w:hAnsi="宋体" w:eastAsia="宋体" w:cs="宋体"/>
        </w:rPr>
        <w:t>平台运营商和服务商的运营应符合GB/T 31524的规定</w:t>
      </w:r>
      <w:r>
        <w:rPr>
          <w:rFonts w:hint="eastAsia"/>
        </w:rPr>
        <w:t>。</w:t>
      </w:r>
    </w:p>
    <w:p>
      <w:pPr>
        <w:pStyle w:val="24"/>
        <w:spacing w:beforeLines="50" w:afterLines="50"/>
        <w:ind w:firstLine="0" w:firstLineChars="0"/>
        <w:rPr>
          <w:rFonts w:hint="eastAsia"/>
        </w:rPr>
      </w:pPr>
      <w:r>
        <w:rPr>
          <w:rFonts w:hint="eastAsia" w:ascii="黑体" w:hAnsi="黑体" w:eastAsia="黑体" w:cs="黑体"/>
          <w:lang w:val="en-US" w:eastAsia="zh-CN"/>
        </w:rPr>
        <w:t>5</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 xml:space="preserve">  </w:t>
      </w:r>
      <w:r>
        <w:rPr>
          <w:rFonts w:hint="eastAsia" w:hAnsi="宋体"/>
        </w:rPr>
        <w:t>电子商务平台的服务保障应符合GB/T 3</w:t>
      </w:r>
      <w:r>
        <w:rPr>
          <w:rFonts w:hAnsi="宋体"/>
        </w:rPr>
        <w:t>7401</w:t>
      </w:r>
      <w:r>
        <w:rPr>
          <w:rFonts w:hint="eastAsia" w:hAnsi="宋体"/>
        </w:rPr>
        <w:t>的规定</w:t>
      </w:r>
      <w:r>
        <w:rPr>
          <w:rFonts w:hint="eastAsia"/>
        </w:rPr>
        <w:t>。</w:t>
      </w:r>
    </w:p>
    <w:p>
      <w:pPr>
        <w:pStyle w:val="24"/>
        <w:spacing w:beforeLines="50" w:afterLines="50"/>
        <w:ind w:firstLine="0" w:firstLineChars="0"/>
        <w:rPr>
          <w:rFonts w:hint="eastAsia"/>
        </w:rPr>
      </w:pPr>
      <w:r>
        <w:rPr>
          <w:rFonts w:hint="eastAsia" w:ascii="黑体" w:hAnsi="黑体" w:eastAsia="黑体" w:cs="黑体"/>
          <w:lang w:val="en-US" w:eastAsia="zh-CN"/>
        </w:rPr>
        <w:t>5</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 xml:space="preserve">  </w:t>
      </w:r>
      <w:r>
        <w:rPr>
          <w:rFonts w:hint="eastAsia" w:hAnsi="宋体"/>
        </w:rPr>
        <w:t>网上交易平台接口的网络支付平台应具备通过银行业金融机构或经国家有关部门批准的非金融企业法人提供电子商务交易支付清算服务的功能，并确保在线支付的安全、有效</w:t>
      </w:r>
      <w:r>
        <w:rPr>
          <w:rFonts w:hint="eastAsia"/>
        </w:rPr>
        <w:t>。</w:t>
      </w:r>
    </w:p>
    <w:p>
      <w:pPr>
        <w:pStyle w:val="67"/>
        <w:numPr>
          <w:ilvl w:val="1"/>
          <w:numId w:val="0"/>
        </w:numPr>
        <w:spacing w:before="156" w:after="156"/>
        <w:ind w:leftChars="0"/>
        <w:rPr>
          <w:rFonts w:hint="eastAsia" w:eastAsia="黑体"/>
          <w:lang w:eastAsia="zh-CN"/>
        </w:rPr>
      </w:pPr>
      <w:bookmarkStart w:id="12" w:name="_Toc26304"/>
      <w:r>
        <w:rPr>
          <w:rFonts w:hint="eastAsia" w:hAnsi="黑体" w:cs="黑体"/>
          <w:lang w:val="en-US" w:eastAsia="zh-CN"/>
        </w:rPr>
        <w:t>5</w:t>
      </w:r>
      <w:r>
        <w:rPr>
          <w:rFonts w:hint="eastAsia" w:ascii="黑体" w:hAnsi="黑体" w:eastAsia="黑体" w:cs="黑体"/>
          <w:lang w:val="en-US" w:eastAsia="zh-CN"/>
        </w:rPr>
        <w:t>.</w:t>
      </w:r>
      <w:r>
        <w:rPr>
          <w:rFonts w:hint="eastAsia" w:hAnsi="黑体" w:cs="黑体"/>
          <w:lang w:val="en-US" w:eastAsia="zh-CN"/>
        </w:rPr>
        <w:t>3</w:t>
      </w:r>
      <w:r>
        <w:rPr>
          <w:rFonts w:hint="eastAsia" w:ascii="黑体" w:hAnsi="黑体" w:eastAsia="黑体" w:cs="黑体"/>
          <w:lang w:val="en-US" w:eastAsia="zh-CN"/>
        </w:rPr>
        <w:t xml:space="preserve">  </w:t>
      </w:r>
      <w:bookmarkEnd w:id="12"/>
      <w:r>
        <w:rPr>
          <w:rFonts w:hint="eastAsia" w:ascii="Times New Roman"/>
          <w:lang w:val="en-US" w:eastAsia="zh-CN"/>
        </w:rPr>
        <w:t>卖方</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rPr>
      </w:pPr>
      <w:r>
        <w:rPr>
          <w:rFonts w:hint="eastAsia" w:hAnsi="宋体"/>
        </w:rPr>
        <w:t>组织或个人在网上交易平台注册和交易的过程中，必须使用真实的身份信息，如真实姓名、住址、联系方式等</w:t>
      </w:r>
      <w:r>
        <w:rPr>
          <w:rFonts w:hint="eastAsia"/>
        </w:rPr>
        <w:t>。</w:t>
      </w:r>
    </w:p>
    <w:p>
      <w:pPr>
        <w:pStyle w:val="50"/>
        <w:numPr>
          <w:ilvl w:val="0"/>
          <w:numId w:val="0"/>
        </w:numPr>
        <w:spacing w:before="312" w:after="312"/>
        <w:ind w:leftChars="0"/>
        <w:rPr>
          <w:rFonts w:hint="eastAsia" w:ascii="黑体" w:hAnsi="黑体" w:eastAsia="黑体" w:cs="黑体"/>
        </w:rPr>
      </w:pPr>
      <w:r>
        <w:rPr>
          <w:rFonts w:hint="eastAsia" w:hAnsi="黑体" w:cs="黑体"/>
          <w:lang w:val="en-US" w:eastAsia="zh-CN"/>
        </w:rPr>
        <w:t>6</w:t>
      </w:r>
      <w:r>
        <w:rPr>
          <w:rFonts w:hint="eastAsia" w:ascii="黑体" w:hAnsi="黑体" w:eastAsia="黑体" w:cs="黑体"/>
          <w:lang w:val="en-US" w:eastAsia="zh-CN"/>
        </w:rPr>
        <w:t xml:space="preserve">  </w:t>
      </w:r>
      <w:r>
        <w:rPr>
          <w:rFonts w:hint="eastAsia"/>
        </w:rPr>
        <w:t>网上交易安全要求</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kern w:val="0"/>
          <w:sz w:val="21"/>
          <w:szCs w:val="20"/>
          <w:lang w:eastAsia="zh-CN" w:bidi="ar"/>
        </w:rPr>
      </w:pPr>
      <w:r>
        <w:rPr>
          <w:rFonts w:hint="eastAsia" w:ascii="宋体"/>
          <w:kern w:val="0"/>
          <w:sz w:val="21"/>
          <w:szCs w:val="20"/>
          <w:lang w:bidi="ar"/>
        </w:rPr>
        <w:t>网上交易安全应符合GB/T 31782的要求</w:t>
      </w:r>
      <w:r>
        <w:rPr>
          <w:rFonts w:hint="eastAsia"/>
          <w:kern w:val="0"/>
          <w:sz w:val="21"/>
          <w:szCs w:val="20"/>
          <w:lang w:eastAsia="zh-CN" w:bidi="ar"/>
        </w:rPr>
        <w:t>。</w:t>
      </w:r>
    </w:p>
    <w:p>
      <w:pPr>
        <w:pStyle w:val="50"/>
        <w:numPr>
          <w:ilvl w:val="0"/>
          <w:numId w:val="0"/>
        </w:numPr>
        <w:spacing w:before="312" w:after="312"/>
        <w:ind w:leftChars="0"/>
        <w:rPr>
          <w:rFonts w:hint="eastAsia" w:ascii="黑体" w:hAnsi="黑体" w:eastAsia="黑体" w:cs="黑体"/>
        </w:rPr>
      </w:pPr>
      <w:r>
        <w:rPr>
          <w:rFonts w:hint="eastAsia" w:hAnsi="黑体" w:cs="黑体"/>
          <w:lang w:val="en-US" w:eastAsia="zh-CN"/>
        </w:rPr>
        <w:t>7</w:t>
      </w:r>
      <w:r>
        <w:rPr>
          <w:rFonts w:hint="eastAsia" w:ascii="黑体" w:hAnsi="黑体" w:eastAsia="黑体" w:cs="黑体"/>
          <w:lang w:val="en-US" w:eastAsia="zh-CN"/>
        </w:rPr>
        <w:t xml:space="preserve">  </w:t>
      </w:r>
      <w:r>
        <w:rPr>
          <w:rFonts w:hint="eastAsia"/>
        </w:rPr>
        <w:t>产品要求</w:t>
      </w:r>
    </w:p>
    <w:p>
      <w:pPr>
        <w:pStyle w:val="67"/>
        <w:numPr>
          <w:ilvl w:val="1"/>
          <w:numId w:val="0"/>
        </w:numPr>
        <w:spacing w:before="156" w:after="156"/>
        <w:ind w:leftChars="0"/>
      </w:pPr>
      <w:r>
        <w:rPr>
          <w:rFonts w:hint="eastAsia" w:hAnsi="黑体" w:cs="黑体"/>
          <w:lang w:val="en-US" w:eastAsia="zh-CN"/>
        </w:rPr>
        <w:t>7</w:t>
      </w:r>
      <w:r>
        <w:rPr>
          <w:rFonts w:hint="eastAsia" w:ascii="黑体" w:hAnsi="黑体" w:eastAsia="黑体" w:cs="黑体"/>
          <w:lang w:val="en-US" w:eastAsia="zh-CN"/>
        </w:rPr>
        <w:t xml:space="preserve">.1  </w:t>
      </w:r>
      <w:r>
        <w:rPr>
          <w:rFonts w:hint="eastAsia" w:ascii="黑体" w:eastAsia="黑体"/>
        </w:rPr>
        <w:t>质量</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ascii="黑体" w:hAnsi="黑体" w:eastAsia="宋体" w:cs="黑体"/>
          <w:lang w:val="en-US" w:eastAsia="zh-CN"/>
        </w:rPr>
      </w:pPr>
      <w:r>
        <w:rPr>
          <w:rFonts w:hint="eastAsia"/>
        </w:rPr>
        <w:t>应符合GB</w:t>
      </w:r>
      <w:r>
        <w:t xml:space="preserve"> 11887</w:t>
      </w:r>
      <w:r>
        <w:rPr>
          <w:rFonts w:hint="eastAsia"/>
        </w:rPr>
        <w:t>和执行标准的要求。禁止销售不符合强制性标准要求和涉及侵权及假冒的产品</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7</w:t>
      </w:r>
      <w:r>
        <w:rPr>
          <w:rFonts w:hint="eastAsia" w:ascii="黑体" w:hAnsi="黑体" w:eastAsia="黑体" w:cs="黑体"/>
          <w:lang w:val="en-US" w:eastAsia="zh-CN"/>
        </w:rPr>
        <w:t>.</w:t>
      </w:r>
      <w:r>
        <w:rPr>
          <w:rFonts w:hint="eastAsia" w:hAnsi="黑体" w:cs="黑体"/>
          <w:lang w:val="en-US" w:eastAsia="zh-CN"/>
        </w:rPr>
        <w:t>2</w:t>
      </w:r>
      <w:r>
        <w:rPr>
          <w:rFonts w:hint="eastAsia" w:ascii="黑体" w:hAnsi="黑体" w:eastAsia="黑体" w:cs="黑体"/>
          <w:lang w:val="en-US" w:eastAsia="zh-CN"/>
        </w:rPr>
        <w:t xml:space="preserve">  </w:t>
      </w:r>
      <w:r>
        <w:rPr>
          <w:rFonts w:hint="eastAsia"/>
        </w:rPr>
        <w:t>有害元素</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hAnsi="宋体"/>
          <w:lang w:eastAsia="zh-CN"/>
        </w:rPr>
      </w:pPr>
      <w:r>
        <w:rPr>
          <w:rFonts w:hint="eastAsia" w:hAnsi="宋体" w:cs="宋体"/>
        </w:rPr>
        <w:t>产品有害元素限量应符合GB 28480的要求</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7</w:t>
      </w:r>
      <w:r>
        <w:rPr>
          <w:rFonts w:hint="eastAsia" w:ascii="黑体" w:hAnsi="黑体" w:eastAsia="黑体" w:cs="黑体"/>
          <w:lang w:val="en-US" w:eastAsia="zh-CN"/>
        </w:rPr>
        <w:t>.</w:t>
      </w:r>
      <w:r>
        <w:rPr>
          <w:rFonts w:hint="eastAsia" w:hAnsi="黑体" w:cs="黑体"/>
          <w:lang w:val="en-US" w:eastAsia="zh-CN"/>
        </w:rPr>
        <w:t>3</w:t>
      </w:r>
      <w:r>
        <w:rPr>
          <w:rFonts w:hint="eastAsia" w:ascii="黑体" w:hAnsi="黑体" w:eastAsia="黑体" w:cs="黑体"/>
          <w:lang w:val="en-US" w:eastAsia="zh-CN"/>
        </w:rPr>
        <w:t xml:space="preserve">  </w:t>
      </w:r>
      <w:r>
        <w:rPr>
          <w:rFonts w:hint="eastAsia"/>
        </w:rPr>
        <w:t>标识</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kern w:val="0"/>
          <w:sz w:val="21"/>
          <w:szCs w:val="20"/>
          <w:lang w:val="en-US" w:eastAsia="zh-CN" w:bidi="ar"/>
        </w:rPr>
      </w:pPr>
      <w:r>
        <w:rPr>
          <w:rFonts w:hint="eastAsia"/>
        </w:rPr>
        <w:t>应符合标识</w:t>
      </w:r>
      <w:bookmarkStart w:id="13" w:name="_Hlk56530096"/>
      <w:r>
        <w:rPr>
          <w:rFonts w:hint="eastAsia"/>
        </w:rPr>
        <w:t>GB</w:t>
      </w:r>
      <w:r>
        <w:t xml:space="preserve">/T </w:t>
      </w:r>
      <w:bookmarkEnd w:id="13"/>
      <w:r>
        <w:t>31912</w:t>
      </w:r>
      <w:r>
        <w:rPr>
          <w:rFonts w:hint="eastAsia"/>
        </w:rPr>
        <w:t>的要求</w:t>
      </w:r>
      <w:r>
        <w:rPr>
          <w:rFonts w:hint="eastAsia" w:hAnsi="宋体"/>
          <w:lang w:eastAsia="zh-CN"/>
        </w:rPr>
        <w:t>。</w:t>
      </w:r>
    </w:p>
    <w:p>
      <w:pPr>
        <w:pStyle w:val="50"/>
        <w:numPr>
          <w:ilvl w:val="0"/>
          <w:numId w:val="0"/>
        </w:numPr>
        <w:spacing w:before="312" w:after="312"/>
        <w:ind w:leftChars="0"/>
        <w:rPr>
          <w:rFonts w:hint="eastAsia" w:ascii="黑体" w:hAnsi="黑体" w:eastAsia="黑体" w:cs="黑体"/>
        </w:rPr>
      </w:pPr>
      <w:r>
        <w:rPr>
          <w:rFonts w:hint="eastAsia" w:hAnsi="黑体" w:cs="黑体"/>
          <w:lang w:val="en-US" w:eastAsia="zh-CN"/>
        </w:rPr>
        <w:t>8</w:t>
      </w:r>
      <w:r>
        <w:rPr>
          <w:rFonts w:hint="eastAsia" w:ascii="黑体" w:hAnsi="黑体" w:eastAsia="黑体" w:cs="黑体"/>
          <w:lang w:val="en-US" w:eastAsia="zh-CN"/>
        </w:rPr>
        <w:t xml:space="preserve">  </w:t>
      </w:r>
      <w:r>
        <w:rPr>
          <w:rFonts w:hint="eastAsia"/>
        </w:rPr>
        <w:t>信息展示要求</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 xml:space="preserve">.1  </w:t>
      </w:r>
      <w:r>
        <w:rPr>
          <w:rFonts w:hint="eastAsia"/>
        </w:rPr>
        <w:t>基本要求</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ascii="黑体" w:hAnsi="黑体" w:eastAsia="宋体" w:cs="黑体"/>
          <w:lang w:val="en-US" w:eastAsia="zh-CN"/>
        </w:rPr>
      </w:pPr>
      <w:r>
        <w:rPr>
          <w:rFonts w:hint="eastAsia" w:hAnsi="宋体"/>
        </w:rPr>
        <w:t>应符合</w:t>
      </w:r>
      <w:r>
        <w:rPr>
          <w:rFonts w:hAnsi="宋体"/>
        </w:rPr>
        <w:t>GB/T 32866</w:t>
      </w:r>
      <w:r>
        <w:rPr>
          <w:rFonts w:hint="eastAsia" w:hAnsi="宋体"/>
        </w:rPr>
        <w:t>、</w:t>
      </w:r>
      <w:r>
        <w:rPr>
          <w:rFonts w:hAnsi="宋体"/>
        </w:rPr>
        <w:t>GB/T 32873</w:t>
      </w:r>
      <w:r>
        <w:rPr>
          <w:rFonts w:hint="eastAsia" w:hAnsi="宋体"/>
        </w:rPr>
        <w:t>及</w:t>
      </w:r>
      <w:r>
        <w:rPr>
          <w:rFonts w:hAnsi="宋体"/>
        </w:rPr>
        <w:t>GB/T 35411</w:t>
      </w:r>
      <w:r>
        <w:rPr>
          <w:rFonts w:hint="eastAsia" w:hAnsi="宋体"/>
        </w:rPr>
        <w:t>的规定</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2</w:t>
      </w:r>
      <w:r>
        <w:rPr>
          <w:rFonts w:hint="eastAsia" w:ascii="黑体" w:hAnsi="黑体" w:eastAsia="黑体" w:cs="黑体"/>
          <w:lang w:val="en-US" w:eastAsia="zh-CN"/>
        </w:rPr>
        <w:t xml:space="preserve">  </w:t>
      </w:r>
      <w:r>
        <w:rPr>
          <w:rFonts w:hint="eastAsia"/>
        </w:rPr>
        <w:t>交易主体信息展示</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2.1</w:t>
      </w:r>
      <w:r>
        <w:rPr>
          <w:rFonts w:hint="eastAsia" w:ascii="黑体" w:hAnsi="黑体" w:eastAsia="黑体" w:cs="黑体"/>
          <w:lang w:val="en-US" w:eastAsia="zh-CN"/>
        </w:rPr>
        <w:t xml:space="preserve">  </w:t>
      </w:r>
      <w:r>
        <w:rPr>
          <w:rFonts w:hint="eastAsia"/>
        </w:rPr>
        <w:t>商家品牌及商标</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hAnsi="宋体"/>
          <w:lang w:eastAsia="zh-CN"/>
        </w:rPr>
      </w:pPr>
      <w:r>
        <w:rPr>
          <w:rFonts w:hint="eastAsia" w:hAnsi="宋体"/>
        </w:rPr>
        <w:t>有注册商标的商品应注明商标。</w:t>
      </w:r>
      <w:r>
        <w:rPr>
          <w:rFonts w:hint="eastAsia"/>
        </w:rPr>
        <w:t>涉及知识产权的，卖方就所经营的商品品牌和商标提供相应的知识产权证明文件，如提供品牌商标授权文件、所销售产品的专利证书等</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2.2</w:t>
      </w:r>
      <w:r>
        <w:rPr>
          <w:rFonts w:hint="eastAsia" w:ascii="黑体" w:hAnsi="黑体" w:eastAsia="黑体" w:cs="黑体"/>
          <w:lang w:val="en-US" w:eastAsia="zh-CN"/>
        </w:rPr>
        <w:t xml:space="preserve">  </w:t>
      </w:r>
      <w:r>
        <w:rPr>
          <w:rFonts w:hint="eastAsia"/>
        </w:rPr>
        <w:t>经营资质</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hAnsi="宋体"/>
          <w:lang w:val="en-US" w:eastAsia="zh-CN"/>
        </w:rPr>
      </w:pPr>
      <w:r>
        <w:rPr>
          <w:rFonts w:hint="eastAsia"/>
        </w:rPr>
        <w:t>依法获得的</w:t>
      </w:r>
      <w:r>
        <w:rPr>
          <w:rFonts w:hint="eastAsia" w:hAnsi="宋体"/>
        </w:rPr>
        <w:t>营业执照等资质证明扫描件图片或照片</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2.3</w:t>
      </w:r>
      <w:r>
        <w:rPr>
          <w:rFonts w:hint="eastAsia" w:ascii="黑体" w:hAnsi="黑体" w:eastAsia="黑体" w:cs="黑体"/>
          <w:lang w:val="en-US" w:eastAsia="zh-CN"/>
        </w:rPr>
        <w:t xml:space="preserve">  </w:t>
      </w:r>
      <w:r>
        <w:rPr>
          <w:rFonts w:hint="eastAsia"/>
        </w:rPr>
        <w:t>联系信息</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hAnsi="宋体"/>
          <w:lang w:val="en-US" w:eastAsia="zh-CN"/>
        </w:rPr>
      </w:pPr>
      <w:r>
        <w:rPr>
          <w:rFonts w:hint="eastAsia" w:ascii="宋体" w:hAnsi="宋体" w:eastAsia="宋体" w:cs="宋体"/>
        </w:rPr>
        <w:t>应有卖方的联系方式，包括有效联系电话、即时通讯工具、电子邮件、真实通讯地址</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3</w:t>
      </w:r>
      <w:r>
        <w:rPr>
          <w:rFonts w:hint="eastAsia" w:ascii="黑体" w:hAnsi="黑体" w:eastAsia="黑体" w:cs="黑体"/>
          <w:lang w:val="en-US" w:eastAsia="zh-CN"/>
        </w:rPr>
        <w:t xml:space="preserve">  </w:t>
      </w:r>
      <w:r>
        <w:rPr>
          <w:rFonts w:hint="eastAsia"/>
        </w:rPr>
        <w:t>产品信息展示</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3.1</w:t>
      </w:r>
      <w:r>
        <w:rPr>
          <w:rFonts w:hint="eastAsia" w:ascii="黑体" w:hAnsi="黑体" w:eastAsia="黑体" w:cs="黑体"/>
          <w:lang w:val="en-US" w:eastAsia="zh-CN"/>
        </w:rPr>
        <w:t xml:space="preserve">  </w:t>
      </w:r>
      <w:r>
        <w:rPr>
          <w:rFonts w:hint="eastAsia"/>
        </w:rPr>
        <w:t>产品名称</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hAnsi="宋体"/>
          <w:lang w:val="en-US" w:eastAsia="zh-CN"/>
        </w:rPr>
      </w:pPr>
      <w:r>
        <w:rPr>
          <w:rFonts w:hint="eastAsia"/>
        </w:rPr>
        <w:t>应有产品名称，产品名称须符合</w:t>
      </w:r>
      <w:r>
        <w:rPr>
          <w:rFonts w:hint="eastAsia" w:hAnsi="宋体"/>
        </w:rPr>
        <w:t>GB 11887、</w:t>
      </w:r>
      <w:r>
        <w:rPr>
          <w:rFonts w:hint="eastAsia"/>
        </w:rPr>
        <w:t>GB/T 16552的规定</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3.2</w:t>
      </w:r>
      <w:r>
        <w:rPr>
          <w:rFonts w:hint="eastAsia" w:ascii="黑体" w:hAnsi="黑体" w:eastAsia="黑体" w:cs="黑体"/>
          <w:lang w:val="en-US" w:eastAsia="zh-CN"/>
        </w:rPr>
        <w:t xml:space="preserve">  </w:t>
      </w:r>
      <w:r>
        <w:rPr>
          <w:rFonts w:hint="eastAsia"/>
        </w:rPr>
        <w:t>产品特征信息</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w:t>
      </w:r>
      <w:r>
        <w:rPr>
          <w:rFonts w:hint="eastAsia" w:ascii="黑体" w:hAnsi="黑体" w:eastAsia="黑体" w:cs="黑体"/>
          <w:lang w:val="en-US" w:eastAsia="zh-CN"/>
        </w:rPr>
        <w:t>2.1</w:t>
      </w:r>
      <w:r>
        <w:rPr>
          <w:rFonts w:hint="eastAsia" w:ascii="黑体" w:hAnsi="黑体" w:eastAsia="黑体" w:cs="黑体"/>
        </w:rPr>
        <w:t xml:space="preserve">  </w:t>
      </w:r>
      <w:r>
        <w:rPr>
          <w:rFonts w:hint="eastAsia" w:ascii="宋体" w:hAnsi="宋体" w:eastAsia="宋体"/>
        </w:rPr>
        <w:t>应有产品特征信息，包括产品的材质和纯度、尺寸或大小、计量质量等规格信息，非贵金属材质的配件应有说明</w:t>
      </w:r>
      <w:r>
        <w:rPr>
          <w:rFonts w:hint="eastAsia" w:hAnsi="宋体"/>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.2</w:t>
      </w:r>
      <w:r>
        <w:rPr>
          <w:rFonts w:hint="eastAsia" w:ascii="黑体" w:hAnsi="黑体" w:eastAsia="黑体" w:cs="黑体"/>
          <w:lang w:val="en-US" w:eastAsia="zh-CN"/>
        </w:rPr>
        <w:t>.2</w:t>
      </w:r>
      <w:r>
        <w:rPr>
          <w:rFonts w:hint="eastAsia" w:ascii="黑体" w:hAnsi="黑体" w:eastAsia="黑体" w:cs="黑体"/>
        </w:rPr>
        <w:t xml:space="preserve">  </w:t>
      </w:r>
      <w:r>
        <w:rPr>
          <w:rFonts w:hint="eastAsia" w:ascii="宋体" w:hAnsi="宋体" w:eastAsia="宋体" w:cs="宋体"/>
          <w:lang w:val="en-US" w:eastAsia="zh-CN"/>
        </w:rPr>
        <w:t>不应</w:t>
      </w:r>
      <w:r>
        <w:rPr>
          <w:rFonts w:hint="eastAsia" w:hAnsi="宋体"/>
        </w:rPr>
        <w:t>有引人误解的虚假宣传的产品特征信息</w:t>
      </w:r>
      <w:r>
        <w:rPr>
          <w:rFonts w:hint="eastAsia"/>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hAnsi="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.2</w:t>
      </w:r>
      <w:r>
        <w:rPr>
          <w:rFonts w:hint="eastAsia" w:ascii="黑体" w:hAnsi="黑体" w:eastAsia="黑体" w:cs="黑体"/>
          <w:lang w:val="en-US" w:eastAsia="zh-CN"/>
        </w:rPr>
        <w:t>.3</w:t>
      </w:r>
      <w:r>
        <w:rPr>
          <w:rFonts w:hint="eastAsia" w:ascii="黑体" w:hAnsi="黑体" w:eastAsia="黑体" w:cs="黑体"/>
        </w:rPr>
        <w:t xml:space="preserve">  </w:t>
      </w:r>
      <w:r>
        <w:rPr>
          <w:rFonts w:hint="eastAsia" w:ascii="宋体" w:hAnsi="宋体" w:eastAsia="宋体" w:cs="宋体"/>
          <w:lang w:val="en-US" w:eastAsia="zh-CN"/>
        </w:rPr>
        <w:t>不应</w:t>
      </w:r>
      <w:r>
        <w:rPr>
          <w:rFonts w:hint="eastAsia" w:hAnsi="宋体"/>
        </w:rPr>
        <w:t>发布不符合强制性国家标准和执行标准的产品信息</w:t>
      </w:r>
      <w:r>
        <w:rPr>
          <w:rFonts w:hint="eastAsia"/>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3.3</w:t>
      </w:r>
      <w:r>
        <w:rPr>
          <w:rFonts w:hint="eastAsia" w:ascii="黑体" w:hAnsi="黑体" w:eastAsia="黑体" w:cs="黑体"/>
          <w:lang w:val="en-US" w:eastAsia="zh-CN"/>
        </w:rPr>
        <w:t xml:space="preserve">  </w:t>
      </w:r>
      <w:r>
        <w:rPr>
          <w:rFonts w:hint="eastAsia"/>
        </w:rPr>
        <w:t>产品图片</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w:t>
      </w:r>
      <w:r>
        <w:rPr>
          <w:rFonts w:hint="eastAsia" w:ascii="黑体" w:hAnsi="黑体" w:eastAsia="黑体" w:cs="黑体"/>
          <w:lang w:val="en-US" w:eastAsia="zh-CN"/>
        </w:rPr>
        <w:t>3.1</w:t>
      </w:r>
      <w:r>
        <w:rPr>
          <w:rFonts w:hint="eastAsia" w:ascii="黑体" w:hAnsi="黑体" w:eastAsia="黑体" w:cs="黑体"/>
        </w:rPr>
        <w:t xml:space="preserve">  </w:t>
      </w:r>
      <w:r>
        <w:rPr>
          <w:rFonts w:hint="eastAsia" w:hAnsi="宋体"/>
        </w:rPr>
        <w:t>应有产品图片信息，包括产品图片描述、产品照片</w:t>
      </w:r>
      <w:r>
        <w:rPr>
          <w:rFonts w:hint="eastAsia" w:hAnsi="宋体"/>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w:t>
      </w:r>
      <w:r>
        <w:rPr>
          <w:rFonts w:hint="eastAsia" w:ascii="黑体" w:hAnsi="黑体" w:eastAsia="黑体" w:cs="黑体"/>
          <w:lang w:val="en-US" w:eastAsia="zh-CN"/>
        </w:rPr>
        <w:t>3.2</w:t>
      </w:r>
      <w:r>
        <w:rPr>
          <w:rFonts w:hint="eastAsia" w:ascii="黑体" w:hAnsi="黑体" w:eastAsia="黑体" w:cs="黑体"/>
        </w:rPr>
        <w:t xml:space="preserve">  </w:t>
      </w:r>
      <w:r>
        <w:rPr>
          <w:rFonts w:hint="eastAsia" w:hAnsi="宋体"/>
        </w:rPr>
        <w:t>图片描述应信息完整、清晰及真实</w:t>
      </w:r>
      <w:r>
        <w:rPr>
          <w:rFonts w:hint="eastAsia"/>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hAnsi="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w:t>
      </w:r>
      <w:r>
        <w:rPr>
          <w:rFonts w:hint="eastAsia" w:ascii="黑体" w:hAnsi="黑体" w:eastAsia="黑体" w:cs="黑体"/>
          <w:lang w:val="en-US" w:eastAsia="zh-CN"/>
        </w:rPr>
        <w:t>3.3</w:t>
      </w:r>
      <w:r>
        <w:rPr>
          <w:rFonts w:hint="eastAsia" w:ascii="黑体" w:hAnsi="黑体" w:eastAsia="黑体" w:cs="黑体"/>
        </w:rPr>
        <w:t xml:space="preserve">  </w:t>
      </w:r>
      <w:r>
        <w:rPr>
          <w:rFonts w:hint="eastAsia" w:hAnsi="宋体"/>
        </w:rPr>
        <w:t>产品照片不应少于2张，</w:t>
      </w:r>
      <w:r>
        <w:rPr>
          <w:rFonts w:hint="eastAsia" w:hAnsi="宋体"/>
          <w:lang w:val="en-US" w:eastAsia="zh-CN"/>
        </w:rPr>
        <w:t>且</w:t>
      </w:r>
      <w:r>
        <w:rPr>
          <w:rFonts w:hint="eastAsia" w:hAnsi="宋体"/>
        </w:rPr>
        <w:t>包含商品正面、背面、印记、尺寸对比、配件、标签等</w:t>
      </w:r>
      <w:r>
        <w:rPr>
          <w:rFonts w:hint="eastAsia"/>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 xml:space="preserve">3.4  </w:t>
      </w:r>
      <w:r>
        <w:rPr>
          <w:rFonts w:hint="eastAsia" w:ascii="黑体" w:hAnsi="黑体" w:eastAsia="黑体" w:cs="黑体"/>
        </w:rPr>
        <w:t>质量合格证明信息</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w:t>
      </w:r>
      <w:r>
        <w:rPr>
          <w:rFonts w:hint="eastAsia" w:ascii="黑体" w:hAnsi="黑体" w:eastAsia="黑体" w:cs="黑体"/>
          <w:lang w:val="en-US" w:eastAsia="zh-CN"/>
        </w:rPr>
        <w:t>4.1</w:t>
      </w:r>
      <w:r>
        <w:rPr>
          <w:rFonts w:hint="eastAsia" w:ascii="黑体" w:hAnsi="黑体" w:eastAsia="黑体" w:cs="黑体"/>
        </w:rPr>
        <w:t xml:space="preserve">  </w:t>
      </w:r>
      <w:r>
        <w:rPr>
          <w:rFonts w:hint="eastAsia" w:hAnsi="宋体"/>
        </w:rPr>
        <w:t>应有国家认证检验机构出具的产品质量检验合格证明</w:t>
      </w:r>
      <w:r>
        <w:rPr>
          <w:rFonts w:hint="eastAsia" w:hAnsi="宋体"/>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3</w:t>
      </w:r>
      <w:r>
        <w:rPr>
          <w:rFonts w:hint="eastAsia" w:ascii="黑体" w:hAnsi="黑体" w:eastAsia="黑体" w:cs="黑体"/>
        </w:rPr>
        <w:t>.</w:t>
      </w:r>
      <w:r>
        <w:rPr>
          <w:rFonts w:hint="eastAsia" w:ascii="黑体" w:hAnsi="黑体" w:eastAsia="黑体" w:cs="黑体"/>
          <w:lang w:val="en-US" w:eastAsia="zh-CN"/>
        </w:rPr>
        <w:t>4.2</w:t>
      </w:r>
      <w:r>
        <w:rPr>
          <w:rFonts w:hint="eastAsia" w:ascii="黑体" w:hAnsi="黑体" w:eastAsia="黑体" w:cs="黑体"/>
        </w:rPr>
        <w:t xml:space="preserve">  </w:t>
      </w:r>
      <w:r>
        <w:rPr>
          <w:rFonts w:hint="eastAsia" w:hAnsi="宋体"/>
        </w:rPr>
        <w:t>质量合格证明信息包括出具单位名称、质量合格证编号、质量等级等。国家认证检验机构名称见附录A</w:t>
      </w:r>
      <w:r>
        <w:rPr>
          <w:rFonts w:hint="eastAsia"/>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 xml:space="preserve">3.5  </w:t>
      </w:r>
      <w:r>
        <w:rPr>
          <w:rFonts w:hint="eastAsia" w:ascii="黑体" w:hAnsi="黑体" w:eastAsia="黑体" w:cs="黑体"/>
        </w:rPr>
        <w:t>产品执行标准信息</w:t>
      </w:r>
    </w:p>
    <w:p>
      <w:pPr>
        <w:pStyle w:val="24"/>
        <w:spacing w:beforeLines="50" w:afterLines="50"/>
        <w:ind w:firstLine="420" w:firstLineChars="200"/>
        <w:rPr>
          <w:rFonts w:hint="eastAsia" w:eastAsia="宋体"/>
          <w:lang w:val="en-US" w:eastAsia="zh-CN"/>
        </w:rPr>
      </w:pPr>
      <w:r>
        <w:rPr>
          <w:rFonts w:hint="eastAsia" w:hAnsi="宋体"/>
        </w:rPr>
        <w:t>应有国家认证检验机构出具的产品质量检验合格证明</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 xml:space="preserve">3.6  </w:t>
      </w:r>
      <w:r>
        <w:rPr>
          <w:rFonts w:hint="eastAsia" w:ascii="黑体" w:hAnsi="黑体" w:eastAsia="黑体" w:cs="黑体"/>
        </w:rPr>
        <w:t>产品认证信息</w:t>
      </w:r>
    </w:p>
    <w:p>
      <w:pPr>
        <w:pStyle w:val="24"/>
        <w:spacing w:beforeLines="50" w:afterLines="50"/>
        <w:ind w:firstLine="420" w:firstLineChars="200"/>
        <w:rPr>
          <w:rFonts w:hint="eastAsia" w:eastAsia="宋体"/>
          <w:lang w:val="en-US" w:eastAsia="zh-CN"/>
        </w:rPr>
      </w:pPr>
      <w:r>
        <w:rPr>
          <w:rFonts w:hint="eastAsia"/>
        </w:rPr>
        <w:t>获得认证的产品应有认证信息。认证信息包括认证证书名称和证书编号、认证机构名称、发证日期、截止日期</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4</w:t>
      </w:r>
      <w:r>
        <w:rPr>
          <w:rFonts w:hint="eastAsia" w:ascii="黑体" w:hAnsi="黑体" w:eastAsia="黑体" w:cs="黑体"/>
          <w:lang w:val="en-US" w:eastAsia="zh-CN"/>
        </w:rPr>
        <w:t xml:space="preserve">  </w:t>
      </w:r>
      <w:r>
        <w:rPr>
          <w:rFonts w:hint="eastAsia"/>
        </w:rPr>
        <w:t>交易服务信息展示</w:t>
      </w:r>
    </w:p>
    <w:p>
      <w:pPr>
        <w:pStyle w:val="67"/>
        <w:numPr>
          <w:ilvl w:val="1"/>
          <w:numId w:val="0"/>
        </w:numPr>
        <w:spacing w:before="156" w:after="156"/>
        <w:ind w:leftChars="0"/>
        <w:rPr>
          <w:rFonts w:hint="eastAsia" w:ascii="黑体" w:hAnsi="黑体" w:eastAsia="黑体" w:cs="黑体"/>
        </w:rPr>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4.1</w:t>
      </w:r>
      <w:r>
        <w:rPr>
          <w:rFonts w:hint="eastAsia" w:ascii="黑体" w:hAnsi="黑体" w:eastAsia="黑体" w:cs="黑体"/>
          <w:lang w:val="en-US" w:eastAsia="zh-CN"/>
        </w:rPr>
        <w:t xml:space="preserve">  </w:t>
      </w:r>
      <w:r>
        <w:rPr>
          <w:rFonts w:hint="eastAsia" w:ascii="黑体" w:hAnsi="黑体" w:eastAsia="黑体" w:cs="黑体"/>
        </w:rPr>
        <w:t>价格信息</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1.1</w:t>
      </w:r>
      <w:r>
        <w:rPr>
          <w:rFonts w:hint="eastAsia" w:ascii="黑体" w:hAnsi="黑体" w:eastAsia="黑体" w:cs="黑体"/>
        </w:rPr>
        <w:t xml:space="preserve">  </w:t>
      </w:r>
      <w:r>
        <w:rPr>
          <w:rFonts w:hint="eastAsia" w:hAnsi="宋体"/>
        </w:rPr>
        <w:t>产品应明码标价。交易前明示各项费用，包括配送费用和保价建议</w:t>
      </w:r>
      <w:r>
        <w:rPr>
          <w:rFonts w:hint="eastAsia" w:hAnsi="宋体"/>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1.2</w:t>
      </w:r>
      <w:r>
        <w:rPr>
          <w:rFonts w:hint="eastAsia" w:ascii="黑体" w:hAnsi="黑体" w:eastAsia="黑体" w:cs="黑体"/>
        </w:rPr>
        <w:t xml:space="preserve">  </w:t>
      </w:r>
      <w:r>
        <w:rPr>
          <w:rFonts w:hint="eastAsia" w:hAnsi="宋体"/>
        </w:rPr>
        <w:t>商品宣传页面的价格须能成交，不能标注虚假价格信息</w:t>
      </w:r>
      <w:r>
        <w:rPr>
          <w:rFonts w:hint="eastAsia"/>
        </w:rPr>
        <w:t>。</w:t>
      </w:r>
    </w:p>
    <w:p>
      <w:pPr>
        <w:pStyle w:val="67"/>
        <w:numPr>
          <w:ilvl w:val="1"/>
          <w:numId w:val="0"/>
        </w:numPr>
        <w:spacing w:before="156" w:after="156"/>
        <w:ind w:leftChars="0"/>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 xml:space="preserve">4.2  </w:t>
      </w:r>
      <w:r>
        <w:rPr>
          <w:rFonts w:hint="eastAsia" w:ascii="黑体" w:hAnsi="黑体" w:eastAsia="黑体" w:cs="黑体"/>
        </w:rPr>
        <w:t>商品条码信息</w:t>
      </w:r>
    </w:p>
    <w:p>
      <w:pPr>
        <w:pStyle w:val="24"/>
        <w:spacing w:beforeLines="50" w:afterLines="50"/>
        <w:ind w:firstLine="420" w:firstLineChars="200"/>
        <w:rPr>
          <w:rFonts w:hint="eastAsia" w:eastAsia="宋体"/>
          <w:lang w:val="en-US" w:eastAsia="zh-CN"/>
        </w:rPr>
      </w:pPr>
      <w:r>
        <w:rPr>
          <w:rFonts w:hint="eastAsia"/>
        </w:rPr>
        <w:t>应注明商品条码号，编码应符合GB 12904的规定</w:t>
      </w:r>
      <w:r>
        <w:rPr>
          <w:rFonts w:hint="eastAsia" w:hAnsi="宋体"/>
          <w:lang w:eastAsia="zh-CN"/>
        </w:rPr>
        <w:t>。</w:t>
      </w:r>
    </w:p>
    <w:p>
      <w:pPr>
        <w:pStyle w:val="67"/>
        <w:numPr>
          <w:ilvl w:val="1"/>
          <w:numId w:val="0"/>
        </w:numPr>
        <w:spacing w:before="156" w:after="156"/>
        <w:ind w:leftChars="0"/>
        <w:rPr>
          <w:rFonts w:hint="eastAsia" w:ascii="黑体" w:hAnsi="黑体" w:eastAsia="黑体" w:cs="黑体"/>
        </w:rPr>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4.3</w:t>
      </w:r>
      <w:r>
        <w:rPr>
          <w:rFonts w:hint="eastAsia" w:ascii="黑体" w:hAnsi="黑体" w:eastAsia="黑体" w:cs="黑体"/>
          <w:lang w:val="en-US" w:eastAsia="zh-CN"/>
        </w:rPr>
        <w:t xml:space="preserve">  </w:t>
      </w:r>
      <w:r>
        <w:rPr>
          <w:rFonts w:hint="eastAsia" w:ascii="黑体" w:hAnsi="黑体" w:eastAsia="黑体" w:cs="黑体"/>
        </w:rPr>
        <w:t>使用及保养说明</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3.1</w:t>
      </w:r>
      <w:r>
        <w:rPr>
          <w:rFonts w:hint="eastAsia" w:ascii="黑体" w:hAnsi="黑体" w:eastAsia="黑体" w:cs="黑体"/>
        </w:rPr>
        <w:t xml:space="preserve">  </w:t>
      </w:r>
      <w:r>
        <w:rPr>
          <w:rFonts w:hint="eastAsia" w:hAnsi="宋体"/>
        </w:rPr>
        <w:t>需要标明使用说明的产品应有使用说明信息。使用说明信息包括使用方法和步骤等内容</w:t>
      </w:r>
      <w:r>
        <w:rPr>
          <w:rFonts w:hint="eastAsia" w:hAnsi="宋体"/>
          <w:lang w:eastAsia="zh-CN"/>
        </w:rPr>
        <w:t>。</w:t>
      </w:r>
    </w:p>
    <w:p>
      <w:pPr>
        <w:pStyle w:val="24"/>
        <w:ind w:left="0" w:leftChars="0" w:firstLine="0" w:firstLineChars="0"/>
        <w:rPr>
          <w:rFonts w:hint="eastAsia"/>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3.2</w:t>
      </w:r>
      <w:r>
        <w:rPr>
          <w:rFonts w:hint="eastAsia" w:ascii="黑体" w:hAnsi="黑体" w:eastAsia="黑体" w:cs="黑体"/>
        </w:rPr>
        <w:t xml:space="preserve">  </w:t>
      </w:r>
      <w:r>
        <w:rPr>
          <w:rFonts w:hint="eastAsia" w:ascii="宋体" w:hAnsi="宋体" w:eastAsia="宋体" w:cs="宋体"/>
          <w:lang w:val="en-US" w:eastAsia="zh-CN"/>
        </w:rPr>
        <w:t>应</w:t>
      </w:r>
      <w:r>
        <w:rPr>
          <w:rFonts w:hint="eastAsia" w:ascii="宋体" w:hAnsi="宋体" w:eastAsia="宋体"/>
        </w:rPr>
        <w:t>注明产品的日常清洗、保养信息，包括珠宝玉石和贵金属不同的清洗和保养方法、保养步骤</w:t>
      </w:r>
      <w:r>
        <w:rPr>
          <w:rFonts w:hint="eastAsia"/>
        </w:rPr>
        <w:t>。</w:t>
      </w:r>
    </w:p>
    <w:p>
      <w:pPr>
        <w:pStyle w:val="67"/>
        <w:numPr>
          <w:ilvl w:val="1"/>
          <w:numId w:val="0"/>
        </w:numPr>
        <w:spacing w:before="156" w:after="156"/>
        <w:ind w:leftChars="0"/>
        <w:rPr>
          <w:rFonts w:hint="eastAsia" w:ascii="黑体" w:hAnsi="黑体" w:eastAsia="黑体" w:cs="黑体"/>
        </w:rPr>
      </w:pPr>
      <w:r>
        <w:rPr>
          <w:rFonts w:hint="eastAsia" w:hAnsi="黑体" w:cs="黑体"/>
          <w:lang w:val="en-US" w:eastAsia="zh-CN"/>
        </w:rPr>
        <w:t>8</w:t>
      </w:r>
      <w:r>
        <w:rPr>
          <w:rFonts w:hint="eastAsia" w:ascii="黑体" w:hAnsi="黑体" w:eastAsia="黑体" w:cs="黑体"/>
          <w:lang w:val="en-US" w:eastAsia="zh-CN"/>
        </w:rPr>
        <w:t>.</w:t>
      </w:r>
      <w:r>
        <w:rPr>
          <w:rFonts w:hint="eastAsia" w:hAnsi="黑体" w:cs="黑体"/>
          <w:lang w:val="en-US" w:eastAsia="zh-CN"/>
        </w:rPr>
        <w:t>4.4</w:t>
      </w:r>
      <w:r>
        <w:rPr>
          <w:rFonts w:hint="eastAsia" w:ascii="黑体" w:hAnsi="黑体" w:eastAsia="黑体" w:cs="黑体"/>
          <w:lang w:val="en-US" w:eastAsia="zh-CN"/>
        </w:rPr>
        <w:t xml:space="preserve">  </w:t>
      </w:r>
      <w:r>
        <w:rPr>
          <w:rFonts w:hint="eastAsia" w:ascii="黑体" w:hAnsi="黑体" w:eastAsia="黑体" w:cs="黑体"/>
        </w:rPr>
        <w:t>售后服务制度</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4.1</w:t>
      </w:r>
      <w:r>
        <w:rPr>
          <w:rFonts w:hint="eastAsia" w:ascii="黑体" w:hAnsi="黑体" w:eastAsia="黑体" w:cs="黑体"/>
        </w:rPr>
        <w:t xml:space="preserve">  </w:t>
      </w:r>
      <w:r>
        <w:rPr>
          <w:rFonts w:hint="eastAsia" w:hAnsi="宋体"/>
        </w:rPr>
        <w:t>应公布售后服务制度，包括商品退换货政策、退换货流程、卖家维修保养等信息</w:t>
      </w:r>
      <w:r>
        <w:rPr>
          <w:rFonts w:hint="eastAsia" w:hAnsi="宋体"/>
          <w:lang w:eastAsia="zh-CN"/>
        </w:rPr>
        <w:t>。</w:t>
      </w:r>
    </w:p>
    <w:p>
      <w:pPr>
        <w:pStyle w:val="24"/>
        <w:ind w:left="0" w:leftChars="0" w:firstLine="0" w:firstLineChars="0"/>
      </w:pPr>
      <w:r>
        <w:rPr>
          <w:rFonts w:hint="eastAsia" w:ascii="黑体" w:hAnsi="黑体" w:eastAsia="黑体" w:cs="黑体"/>
          <w:lang w:val="en-US" w:eastAsia="zh-CN"/>
        </w:rPr>
        <w:t>8</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4.2</w:t>
      </w:r>
      <w:r>
        <w:rPr>
          <w:rFonts w:hint="eastAsia" w:ascii="黑体" w:hAnsi="黑体" w:eastAsia="黑体" w:cs="黑体"/>
        </w:rPr>
        <w:t xml:space="preserve">  </w:t>
      </w:r>
      <w:r>
        <w:rPr>
          <w:rFonts w:hint="eastAsia" w:ascii="宋体" w:hAnsi="宋体" w:eastAsia="宋体"/>
        </w:rPr>
        <w:t>退换货制度应符合《</w:t>
      </w:r>
      <w:r>
        <w:rPr>
          <w:rFonts w:hint="eastAsia" w:ascii="宋体" w:hAnsi="宋体" w:eastAsia="宋体"/>
          <w:shd w:val="clear" w:color="auto" w:fill="FFFFFF"/>
        </w:rPr>
        <w:t>网络购买商品七日无理由退货暂行办法</w:t>
      </w:r>
      <w:r>
        <w:rPr>
          <w:rFonts w:hint="eastAsia" w:ascii="宋体" w:hAnsi="宋体" w:eastAsia="宋体"/>
        </w:rPr>
        <w:t>》的规定，定制除外</w:t>
      </w:r>
      <w:r>
        <w:rPr>
          <w:rFonts w:hint="eastAsia"/>
        </w:rPr>
        <w:t>。</w:t>
      </w:r>
    </w:p>
    <w:p>
      <w:pPr>
        <w:pStyle w:val="50"/>
        <w:numPr>
          <w:ilvl w:val="0"/>
          <w:numId w:val="0"/>
        </w:numPr>
        <w:spacing w:before="312" w:after="312"/>
        <w:ind w:leftChars="0"/>
        <w:rPr>
          <w:rFonts w:hint="eastAsia" w:ascii="黑体" w:hAnsi="黑体" w:eastAsia="黑体" w:cs="黑体"/>
        </w:rPr>
      </w:pPr>
      <w:r>
        <w:rPr>
          <w:rFonts w:hint="eastAsia" w:hAnsi="黑体" w:cs="黑体"/>
          <w:lang w:val="en-US" w:eastAsia="zh-CN"/>
        </w:rPr>
        <w:t>9</w:t>
      </w:r>
      <w:r>
        <w:rPr>
          <w:rFonts w:hint="eastAsia" w:ascii="黑体" w:hAnsi="黑体" w:eastAsia="黑体" w:cs="黑体"/>
          <w:lang w:val="en-US" w:eastAsia="zh-CN"/>
        </w:rPr>
        <w:t xml:space="preserve">  </w:t>
      </w:r>
      <w:r>
        <w:rPr>
          <w:rFonts w:hint="eastAsia"/>
        </w:rPr>
        <w:t>交易服务要求</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 xml:space="preserve">.1  </w:t>
      </w:r>
      <w:r>
        <w:rPr>
          <w:rFonts w:hint="eastAsia"/>
        </w:rPr>
        <w:t>销售服务</w:t>
      </w:r>
    </w:p>
    <w:p>
      <w:pPr>
        <w:pStyle w:val="24"/>
        <w:ind w:left="0" w:leftChars="0" w:firstLine="0" w:firstLineChars="0"/>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1</w:t>
      </w:r>
      <w:r>
        <w:rPr>
          <w:rFonts w:hint="eastAsia" w:ascii="黑体" w:hAnsi="黑体" w:eastAsia="黑体" w:cs="黑体"/>
        </w:rPr>
        <w:t>.</w:t>
      </w:r>
      <w:r>
        <w:rPr>
          <w:rFonts w:hint="eastAsia" w:ascii="黑体" w:hAnsi="黑体" w:eastAsia="黑体" w:cs="黑体"/>
          <w:lang w:val="en-US" w:eastAsia="zh-CN"/>
        </w:rPr>
        <w:t xml:space="preserve">1  </w:t>
      </w:r>
      <w:r>
        <w:rPr>
          <w:rFonts w:hint="eastAsia" w:hAnsi="宋体"/>
        </w:rPr>
        <w:t>应保证库存实时更新，缺货商品应暂时下架，所售商品页面与实物</w:t>
      </w:r>
      <w:r>
        <w:rPr>
          <w:rFonts w:hint="eastAsia" w:ascii="宋体" w:hAnsi="宋体" w:eastAsia="宋体" w:cs="宋体"/>
          <w:lang w:val="en-US" w:eastAsia="zh-CN"/>
        </w:rPr>
        <w:t>应</w:t>
      </w:r>
      <w:r>
        <w:rPr>
          <w:rFonts w:hint="eastAsia" w:hAnsi="宋体"/>
        </w:rPr>
        <w:t>一致</w:t>
      </w:r>
      <w:r>
        <w:rPr>
          <w:rFonts w:hint="eastAsia"/>
        </w:rPr>
        <w:t>。</w:t>
      </w:r>
    </w:p>
    <w:p>
      <w:pPr>
        <w:pStyle w:val="24"/>
        <w:spacing w:beforeLines="50" w:afterLines="50"/>
        <w:ind w:firstLine="0" w:firstLineChars="0"/>
        <w:rPr>
          <w:rFonts w:hint="eastAsia" w:eastAsia="宋体"/>
          <w:lang w:val="en-US" w:eastAsia="zh-CN"/>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1</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  </w:t>
      </w:r>
      <w:r>
        <w:rPr>
          <w:rFonts w:hint="eastAsia" w:hAnsi="宋体"/>
        </w:rPr>
        <w:t>配备商品咨询客服，对商品的描述及回复与页面信息披露一致</w:t>
      </w:r>
      <w:r>
        <w:rPr>
          <w:rFonts w:hint="eastAsia" w:hAnsi="宋体"/>
          <w:lang w:val="en-US" w:eastAsia="zh-CN"/>
        </w:rPr>
        <w:t>不应</w:t>
      </w:r>
      <w:r>
        <w:rPr>
          <w:rFonts w:hint="eastAsia" w:hAnsi="宋体"/>
        </w:rPr>
        <w:t>夸大宣传</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 xml:space="preserve">2  </w:t>
      </w:r>
      <w:r>
        <w:rPr>
          <w:rFonts w:hint="eastAsia"/>
        </w:rPr>
        <w:t>支付</w:t>
      </w:r>
    </w:p>
    <w:p>
      <w:pPr>
        <w:pStyle w:val="24"/>
        <w:spacing w:beforeLines="50" w:afterLines="50"/>
        <w:ind w:firstLine="420" w:firstLineChars="200"/>
        <w:rPr>
          <w:rFonts w:hint="eastAsia" w:eastAsia="宋体"/>
          <w:lang w:val="en-US" w:eastAsia="zh-CN"/>
        </w:rPr>
      </w:pPr>
      <w:r>
        <w:rPr>
          <w:rFonts w:hint="eastAsia"/>
        </w:rPr>
        <w:t>应明确付款方式和发票信息</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 xml:space="preserve">3  </w:t>
      </w:r>
      <w:r>
        <w:rPr>
          <w:rFonts w:hint="eastAsia"/>
        </w:rPr>
        <w:t>配送</w:t>
      </w:r>
    </w:p>
    <w:p>
      <w:pPr>
        <w:pStyle w:val="24"/>
        <w:spacing w:beforeLines="50" w:afterLines="50"/>
        <w:ind w:firstLine="420" w:firstLineChars="200"/>
        <w:rPr>
          <w:rFonts w:hint="eastAsia" w:eastAsia="宋体"/>
          <w:lang w:val="en-US" w:eastAsia="zh-CN"/>
        </w:rPr>
      </w:pPr>
      <w:r>
        <w:rPr>
          <w:rFonts w:hint="eastAsia" w:hAnsi="宋体"/>
          <w:lang w:eastAsia="zh-CN"/>
        </w:rPr>
        <w:t>应在商品售出前，明确买家收货验货流程。应明确所售商品的配送方式和配送时间期限，在承诺的时间内发货，公布和更新物流信息，应对订单的配送过程逬行监督。</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4</w:t>
      </w:r>
      <w:r>
        <w:rPr>
          <w:rFonts w:hint="eastAsia" w:ascii="黑体" w:hAnsi="黑体" w:eastAsia="黑体" w:cs="黑体"/>
          <w:lang w:val="en-US" w:eastAsia="zh-CN"/>
        </w:rPr>
        <w:t xml:space="preserve">  </w:t>
      </w:r>
      <w:r>
        <w:rPr>
          <w:rFonts w:hint="eastAsia"/>
        </w:rPr>
        <w:t>售后服务</w:t>
      </w:r>
    </w:p>
    <w:p>
      <w:pPr>
        <w:pStyle w:val="67"/>
        <w:keepNext w:val="0"/>
        <w:keepLines w:val="0"/>
        <w:pageBreakBefore w:val="0"/>
        <w:widowControl/>
        <w:numPr>
          <w:ilvl w:val="1"/>
          <w:numId w:val="0"/>
        </w:numPr>
        <w:kinsoku/>
        <w:wordWrap/>
        <w:overflowPunct/>
        <w:topLinePunct w:val="0"/>
        <w:bidi w:val="0"/>
        <w:adjustRightInd/>
        <w:snapToGrid/>
        <w:spacing w:before="157" w:beforeLines="50" w:after="157" w:afterLines="50"/>
        <w:ind w:leftChars="0"/>
        <w:textAlignment w:val="auto"/>
        <w:rPr>
          <w:rFonts w:hint="eastAsia" w:ascii="黑体" w:hAnsi="黑体" w:eastAsia="黑体" w:cs="黑体"/>
        </w:rPr>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4.1</w:t>
      </w:r>
      <w:r>
        <w:rPr>
          <w:rFonts w:hint="eastAsia" w:ascii="黑体" w:hAnsi="黑体" w:eastAsia="黑体" w:cs="黑体"/>
          <w:lang w:val="en-US" w:eastAsia="zh-CN"/>
        </w:rPr>
        <w:t xml:space="preserve">  </w:t>
      </w:r>
      <w:r>
        <w:rPr>
          <w:rFonts w:hint="eastAsia" w:hAnsi="黑体"/>
        </w:rPr>
        <w:t>投诉处理服务</w:t>
      </w:r>
    </w:p>
    <w:p>
      <w:pPr>
        <w:pStyle w:val="24"/>
        <w:keepNext w:val="0"/>
        <w:keepLines w:val="0"/>
        <w:pageBreakBefore w:val="0"/>
        <w:widowControl/>
        <w:kinsoku/>
        <w:wordWrap/>
        <w:overflowPunct/>
        <w:topLinePunct w:val="0"/>
        <w:bidi w:val="0"/>
        <w:adjustRightInd/>
        <w:snapToGrid/>
        <w:spacing w:before="157" w:beforeLines="50" w:after="157" w:afterLines="50"/>
        <w:ind w:left="0" w:leftChars="0" w:firstLine="0" w:firstLineChars="0"/>
        <w:textAlignment w:val="auto"/>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1.1</w:t>
      </w:r>
      <w:r>
        <w:rPr>
          <w:rFonts w:hint="eastAsia" w:ascii="黑体" w:hAnsi="黑体" w:eastAsia="黑体" w:cs="黑体"/>
        </w:rPr>
        <w:t xml:space="preserve">  </w:t>
      </w:r>
      <w:r>
        <w:rPr>
          <w:rFonts w:hint="eastAsia" w:ascii="宋体" w:hAnsi="宋体" w:eastAsia="宋体"/>
        </w:rPr>
        <w:t>卖家应公布投诉电话、网上投诉地址、投诉处理程序和时限等信息，</w:t>
      </w:r>
      <w:r>
        <w:rPr>
          <w:rFonts w:hint="eastAsia" w:hAnsi="宋体"/>
          <w:lang w:val="en-US" w:eastAsia="zh-CN"/>
        </w:rPr>
        <w:t>且保证</w:t>
      </w:r>
      <w:r>
        <w:rPr>
          <w:rFonts w:hint="eastAsia" w:ascii="宋体" w:hAnsi="宋体" w:eastAsia="宋体"/>
        </w:rPr>
        <w:t>信息准确、有效</w:t>
      </w:r>
      <w:r>
        <w:rPr>
          <w:rFonts w:hint="eastAsia" w:hAnsi="宋体"/>
          <w:lang w:eastAsia="zh-CN"/>
        </w:rPr>
        <w:t>。</w:t>
      </w:r>
    </w:p>
    <w:p>
      <w:pPr>
        <w:pStyle w:val="24"/>
        <w:keepNext w:val="0"/>
        <w:keepLines w:val="0"/>
        <w:pageBreakBefore w:val="0"/>
        <w:widowControl/>
        <w:kinsoku/>
        <w:wordWrap/>
        <w:overflowPunct/>
        <w:topLinePunct w:val="0"/>
        <w:bidi w:val="0"/>
        <w:adjustRightInd/>
        <w:snapToGrid/>
        <w:spacing w:before="157" w:beforeLines="50" w:after="157" w:afterLines="50"/>
        <w:ind w:left="0" w:leftChars="0" w:firstLine="0" w:firstLineChars="0"/>
        <w:textAlignment w:val="auto"/>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1.2</w:t>
      </w:r>
      <w:r>
        <w:rPr>
          <w:rFonts w:hint="eastAsia" w:ascii="黑体" w:hAnsi="黑体" w:eastAsia="黑体" w:cs="黑体"/>
        </w:rPr>
        <w:t xml:space="preserve">  </w:t>
      </w:r>
      <w:r>
        <w:rPr>
          <w:rFonts w:hint="eastAsia" w:ascii="宋体" w:hAnsi="宋体" w:eastAsia="宋体"/>
        </w:rPr>
        <w:t>对售出的商品，当顾客提出异议时应依照《中华人民共和国消费者权益保障法》《网络交易管理办法》的规定，按GB/T 17242的方法进行投诉处理</w:t>
      </w:r>
      <w:r>
        <w:rPr>
          <w:rFonts w:hint="eastAsia" w:hAnsi="宋体"/>
          <w:lang w:eastAsia="zh-CN"/>
        </w:rPr>
        <w:t>。</w:t>
      </w:r>
    </w:p>
    <w:p>
      <w:pPr>
        <w:pStyle w:val="24"/>
        <w:keepNext w:val="0"/>
        <w:keepLines w:val="0"/>
        <w:pageBreakBefore w:val="0"/>
        <w:widowControl/>
        <w:kinsoku/>
        <w:wordWrap/>
        <w:overflowPunct/>
        <w:topLinePunct w:val="0"/>
        <w:bidi w:val="0"/>
        <w:adjustRightInd/>
        <w:snapToGrid/>
        <w:spacing w:before="157" w:beforeLines="50" w:after="157" w:afterLines="50"/>
        <w:ind w:left="0" w:leftChars="0" w:firstLine="0" w:firstLineChars="0"/>
        <w:textAlignment w:val="auto"/>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1.3</w:t>
      </w:r>
      <w:r>
        <w:rPr>
          <w:rFonts w:hint="eastAsia" w:ascii="黑体" w:hAnsi="黑体" w:eastAsia="黑体" w:cs="黑体"/>
        </w:rPr>
        <w:t xml:space="preserve">  </w:t>
      </w:r>
      <w:r>
        <w:rPr>
          <w:rFonts w:hint="eastAsia" w:ascii="宋体" w:hAnsi="宋体" w:eastAsia="宋体"/>
        </w:rPr>
        <w:t>服务提供方应及时处理并保存投诉信息，完整详实记录，并建立回访制度</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 xml:space="preserve">4.2  </w:t>
      </w:r>
      <w:r>
        <w:rPr>
          <w:rFonts w:hint="eastAsia"/>
        </w:rPr>
        <w:t>纠纷处理</w:t>
      </w:r>
    </w:p>
    <w:p>
      <w:pPr>
        <w:pStyle w:val="24"/>
        <w:spacing w:beforeLines="50" w:afterLines="50"/>
        <w:ind w:firstLine="420" w:firstLineChars="200"/>
        <w:rPr>
          <w:rFonts w:hint="eastAsia" w:eastAsia="宋体"/>
          <w:lang w:val="en-US" w:eastAsia="zh-CN"/>
        </w:rPr>
      </w:pPr>
      <w:r>
        <w:rPr>
          <w:rFonts w:hint="eastAsia" w:ascii="宋体" w:hAnsi="宋体" w:eastAsia="宋体"/>
        </w:rPr>
        <w:t>依据</w:t>
      </w:r>
      <w:r>
        <w:rPr>
          <w:rFonts w:ascii="宋体" w:hAnsi="宋体" w:eastAsia="宋体"/>
        </w:rPr>
        <w:t>SZDB/Z 346</w:t>
      </w:r>
      <w:r>
        <w:rPr>
          <w:rFonts w:hint="eastAsia" w:ascii="宋体" w:hAnsi="宋体" w:eastAsia="宋体"/>
        </w:rPr>
        <w:t>进行纠纷处理</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5</w:t>
      </w:r>
      <w:r>
        <w:rPr>
          <w:rFonts w:hint="eastAsia" w:ascii="黑体" w:hAnsi="黑体" w:eastAsia="黑体" w:cs="黑体"/>
          <w:lang w:val="en-US" w:eastAsia="zh-CN"/>
        </w:rPr>
        <w:t xml:space="preserve">  </w:t>
      </w:r>
      <w:r>
        <w:rPr>
          <w:rFonts w:hint="eastAsia" w:hAnsi="黑体"/>
        </w:rPr>
        <w:t>服务评价和改进</w:t>
      </w:r>
    </w:p>
    <w:p>
      <w:pPr>
        <w:pStyle w:val="67"/>
        <w:keepNext w:val="0"/>
        <w:keepLines w:val="0"/>
        <w:pageBreakBefore w:val="0"/>
        <w:widowControl/>
        <w:numPr>
          <w:ilvl w:val="1"/>
          <w:numId w:val="0"/>
        </w:numPr>
        <w:kinsoku/>
        <w:wordWrap/>
        <w:overflowPunct/>
        <w:topLinePunct w:val="0"/>
        <w:bidi w:val="0"/>
        <w:adjustRightInd/>
        <w:snapToGrid/>
        <w:spacing w:before="157" w:beforeLines="50" w:after="157" w:afterLines="50"/>
        <w:ind w:leftChars="0"/>
        <w:textAlignment w:val="auto"/>
        <w:rPr>
          <w:rFonts w:hint="eastAsia" w:ascii="黑体" w:hAnsi="黑体" w:eastAsia="黑体" w:cs="黑体"/>
        </w:rPr>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5.1</w:t>
      </w:r>
      <w:r>
        <w:rPr>
          <w:rFonts w:hint="eastAsia" w:ascii="黑体" w:hAnsi="黑体" w:eastAsia="黑体" w:cs="黑体"/>
          <w:lang w:val="en-US" w:eastAsia="zh-CN"/>
        </w:rPr>
        <w:t xml:space="preserve">  </w:t>
      </w:r>
      <w:r>
        <w:rPr>
          <w:rFonts w:hint="eastAsia" w:hAnsi="黑体"/>
        </w:rPr>
        <w:t>服务质量评价</w:t>
      </w:r>
    </w:p>
    <w:p>
      <w:pPr>
        <w:pStyle w:val="24"/>
        <w:keepNext w:val="0"/>
        <w:keepLines w:val="0"/>
        <w:pageBreakBefore w:val="0"/>
        <w:widowControl/>
        <w:kinsoku/>
        <w:wordWrap/>
        <w:overflowPunct/>
        <w:topLinePunct w:val="0"/>
        <w:bidi w:val="0"/>
        <w:adjustRightInd/>
        <w:snapToGrid/>
        <w:spacing w:before="157" w:beforeLines="50" w:after="157" w:afterLines="50"/>
        <w:ind w:left="0" w:leftChars="0" w:firstLine="0" w:firstLineChars="0"/>
        <w:textAlignment w:val="auto"/>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5</w:t>
      </w:r>
      <w:r>
        <w:rPr>
          <w:rFonts w:hint="eastAsia" w:ascii="黑体" w:hAnsi="黑体" w:eastAsia="黑体" w:cs="黑体"/>
        </w:rPr>
        <w:t>.</w:t>
      </w:r>
      <w:r>
        <w:rPr>
          <w:rFonts w:hint="eastAsia" w:ascii="黑体" w:hAnsi="黑体" w:eastAsia="黑体" w:cs="黑体"/>
          <w:lang w:val="en-US" w:eastAsia="zh-CN"/>
        </w:rPr>
        <w:t>1.1</w:t>
      </w:r>
      <w:r>
        <w:rPr>
          <w:rFonts w:hint="eastAsia" w:ascii="黑体" w:hAnsi="黑体" w:eastAsia="黑体" w:cs="黑体"/>
        </w:rPr>
        <w:t xml:space="preserve">  </w:t>
      </w:r>
      <w:r>
        <w:rPr>
          <w:rFonts w:hint="eastAsia" w:ascii="宋体" w:hAnsi="宋体" w:eastAsia="宋体"/>
          <w:spacing w:val="-5"/>
        </w:rPr>
        <w:t>卖家应建立服务使用者满意度评价制度，明确服务使用者满意度评价标准。可根据</w:t>
      </w:r>
      <w:r>
        <w:rPr>
          <w:rFonts w:ascii="宋体" w:hAnsi="宋体" w:eastAsia="宋体"/>
          <w:spacing w:val="-5"/>
        </w:rPr>
        <w:t>SB/T 10409</w:t>
      </w:r>
      <w:r>
        <w:rPr>
          <w:rFonts w:hint="eastAsia" w:ascii="宋体" w:hAnsi="宋体" w:eastAsia="宋体"/>
          <w:spacing w:val="-5"/>
        </w:rPr>
        <w:t>对顾客满意度进行</w:t>
      </w:r>
      <w:r>
        <w:rPr>
          <w:rFonts w:hint="eastAsia" w:ascii="宋体" w:hAnsi="宋体" w:eastAsia="宋体"/>
          <w:spacing w:val="-12"/>
        </w:rPr>
        <w:t>评价</w:t>
      </w:r>
      <w:r>
        <w:rPr>
          <w:rFonts w:hint="eastAsia" w:hAnsi="宋体"/>
          <w:lang w:eastAsia="zh-CN"/>
        </w:rPr>
        <w:t>。</w:t>
      </w:r>
    </w:p>
    <w:p>
      <w:pPr>
        <w:pStyle w:val="24"/>
        <w:keepNext w:val="0"/>
        <w:keepLines w:val="0"/>
        <w:pageBreakBefore w:val="0"/>
        <w:widowControl/>
        <w:kinsoku/>
        <w:wordWrap/>
        <w:overflowPunct/>
        <w:topLinePunct w:val="0"/>
        <w:bidi w:val="0"/>
        <w:adjustRightInd/>
        <w:snapToGrid/>
        <w:spacing w:before="157" w:beforeLines="50" w:after="157" w:afterLines="50"/>
        <w:ind w:left="0" w:leftChars="0" w:firstLine="0" w:firstLineChars="0"/>
        <w:textAlignment w:val="auto"/>
        <w:rPr>
          <w:rFonts w:hint="eastAsia"/>
        </w:rPr>
      </w:pPr>
      <w:r>
        <w:rPr>
          <w:rFonts w:hint="eastAsia" w:ascii="黑体" w:hAnsi="黑体" w:eastAsia="黑体" w:cs="黑体"/>
          <w:lang w:val="en-US" w:eastAsia="zh-CN"/>
        </w:rPr>
        <w:t>9</w:t>
      </w:r>
      <w:r>
        <w:rPr>
          <w:rFonts w:hint="eastAsia" w:ascii="黑体" w:hAnsi="黑体" w:eastAsia="黑体" w:cs="黑体"/>
        </w:rPr>
        <w:t>.</w:t>
      </w:r>
      <w:r>
        <w:rPr>
          <w:rFonts w:hint="eastAsia" w:ascii="黑体" w:hAnsi="黑体" w:eastAsia="黑体" w:cs="黑体"/>
          <w:lang w:val="en-US" w:eastAsia="zh-CN"/>
        </w:rPr>
        <w:t>5</w:t>
      </w:r>
      <w:r>
        <w:rPr>
          <w:rFonts w:hint="eastAsia" w:ascii="黑体" w:hAnsi="黑体" w:eastAsia="黑体" w:cs="黑体"/>
        </w:rPr>
        <w:t>.</w:t>
      </w:r>
      <w:r>
        <w:rPr>
          <w:rFonts w:hint="eastAsia" w:ascii="黑体" w:hAnsi="黑体" w:eastAsia="黑体" w:cs="黑体"/>
          <w:lang w:val="en-US" w:eastAsia="zh-CN"/>
        </w:rPr>
        <w:t>1.2</w:t>
      </w:r>
      <w:r>
        <w:rPr>
          <w:rFonts w:hint="eastAsia" w:ascii="黑体" w:hAnsi="黑体" w:eastAsia="黑体" w:cs="黑体"/>
        </w:rPr>
        <w:t xml:space="preserve">  </w:t>
      </w:r>
      <w:r>
        <w:rPr>
          <w:rFonts w:hint="eastAsia" w:ascii="宋体" w:hAnsi="宋体" w:eastAsia="宋体"/>
        </w:rPr>
        <w:t>卖方应建立自我评价制度，对自身服务质量进行定期自我评价</w:t>
      </w:r>
      <w:r>
        <w:rPr>
          <w:rFonts w:hint="eastAsia" w:hAnsi="宋体"/>
          <w:lang w:eastAsia="zh-CN"/>
        </w:rPr>
        <w:t>。</w:t>
      </w:r>
    </w:p>
    <w:p>
      <w:pPr>
        <w:pStyle w:val="67"/>
        <w:numPr>
          <w:ilvl w:val="1"/>
          <w:numId w:val="0"/>
        </w:numPr>
        <w:spacing w:before="156" w:after="156"/>
        <w:ind w:leftChars="0"/>
      </w:pPr>
      <w:r>
        <w:rPr>
          <w:rFonts w:hint="eastAsia" w:hAnsi="黑体" w:cs="黑体"/>
          <w:lang w:val="en-US" w:eastAsia="zh-CN"/>
        </w:rPr>
        <w:t>9</w:t>
      </w:r>
      <w:r>
        <w:rPr>
          <w:rFonts w:hint="eastAsia" w:ascii="黑体" w:hAnsi="黑体" w:eastAsia="黑体" w:cs="黑体"/>
          <w:lang w:val="en-US" w:eastAsia="zh-CN"/>
        </w:rPr>
        <w:t>.</w:t>
      </w:r>
      <w:r>
        <w:rPr>
          <w:rFonts w:hint="eastAsia" w:hAnsi="黑体" w:cs="黑体"/>
          <w:lang w:val="en-US" w:eastAsia="zh-CN"/>
        </w:rPr>
        <w:t xml:space="preserve">5.2  </w:t>
      </w:r>
      <w:r>
        <w:rPr>
          <w:rFonts w:hint="eastAsia" w:hAnsi="黑体"/>
        </w:rPr>
        <w:t>服务质量改进</w:t>
      </w:r>
    </w:p>
    <w:p>
      <w:pPr>
        <w:pStyle w:val="24"/>
        <w:spacing w:beforeLines="50" w:afterLines="50"/>
        <w:ind w:firstLine="404" w:firstLineChars="200"/>
        <w:rPr>
          <w:rFonts w:hint="eastAsia" w:eastAsia="宋体"/>
          <w:lang w:val="en-US" w:eastAsia="zh-CN"/>
        </w:rPr>
      </w:pPr>
      <w:r>
        <w:rPr>
          <w:rFonts w:hint="eastAsia" w:ascii="宋体" w:hAnsi="宋体" w:eastAsia="宋体"/>
          <w:spacing w:val="-4"/>
        </w:rPr>
        <w:t>卖方应根据顾客满意度对存在的质量或服务问题进行分析，确定出现问题的原因，</w:t>
      </w:r>
      <w:r>
        <w:rPr>
          <w:rFonts w:hint="eastAsia" w:ascii="宋体" w:hAnsi="宋体" w:eastAsia="宋体"/>
          <w:spacing w:val="-2"/>
        </w:rPr>
        <w:t>采取有效措施，防止类似问题再次发生</w:t>
      </w:r>
      <w:r>
        <w:rPr>
          <w:rFonts w:hint="eastAsia" w:hAnsi="宋体"/>
          <w:lang w:eastAsia="zh-CN"/>
        </w:rPr>
        <w:t>。</w:t>
      </w:r>
    </w:p>
    <w:p>
      <w:pPr>
        <w:pStyle w:val="50"/>
        <w:numPr>
          <w:ilvl w:val="0"/>
          <w:numId w:val="0"/>
        </w:numPr>
        <w:spacing w:before="312" w:after="312"/>
        <w:ind w:leftChars="0"/>
        <w:rPr>
          <w:rFonts w:hint="eastAsia" w:ascii="黑体" w:hAnsi="黑体" w:eastAsia="黑体" w:cs="黑体"/>
        </w:rPr>
      </w:pPr>
      <w:r>
        <w:rPr>
          <w:rFonts w:hint="eastAsia" w:hAnsi="黑体" w:cs="黑体"/>
          <w:lang w:val="en-US" w:eastAsia="zh-CN"/>
        </w:rPr>
        <w:t>10</w:t>
      </w:r>
      <w:r>
        <w:rPr>
          <w:rFonts w:hint="eastAsia" w:ascii="黑体" w:hAnsi="黑体" w:eastAsia="黑体" w:cs="黑体"/>
          <w:lang w:val="en-US" w:eastAsia="zh-CN"/>
        </w:rPr>
        <w:t xml:space="preserve">  </w:t>
      </w:r>
      <w:r>
        <w:rPr>
          <w:rFonts w:hint="eastAsia"/>
        </w:rPr>
        <w:t>交易信用评价管理</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420" w:firstLineChars="200"/>
        <w:textAlignment w:val="auto"/>
        <w:rPr>
          <w:rFonts w:hint="eastAsia"/>
          <w:kern w:val="0"/>
          <w:sz w:val="21"/>
          <w:szCs w:val="20"/>
          <w:lang w:eastAsia="zh-CN" w:bidi="ar"/>
        </w:rPr>
      </w:pPr>
      <w:r>
        <w:rPr>
          <w:rFonts w:hint="eastAsia"/>
        </w:rPr>
        <w:t>卖家交易信用评价管理根据SZDB/Z 344进行</w:t>
      </w:r>
      <w:r>
        <w:rPr>
          <w:rFonts w:hint="eastAsia"/>
          <w:kern w:val="0"/>
          <w:sz w:val="21"/>
          <w:szCs w:val="20"/>
          <w:lang w:eastAsia="zh-CN" w:bidi="ar"/>
        </w:rPr>
        <w:t>。</w:t>
      </w:r>
    </w:p>
    <w:p>
      <w:pPr>
        <w:pStyle w:val="50"/>
        <w:numPr>
          <w:ilvl w:val="0"/>
          <w:numId w:val="0"/>
        </w:numPr>
        <w:spacing w:before="312" w:after="312"/>
        <w:ind w:leftChars="0"/>
        <w:rPr>
          <w:rFonts w:hint="eastAsia" w:ascii="黑体" w:hAnsi="黑体" w:eastAsia="黑体" w:cs="黑体"/>
        </w:rPr>
      </w:pPr>
      <w:r>
        <w:rPr>
          <w:rFonts w:hint="eastAsia" w:hAnsi="黑体" w:cs="黑体"/>
          <w:lang w:val="en-US" w:eastAsia="zh-CN"/>
        </w:rPr>
        <w:t>11</w:t>
      </w:r>
      <w:r>
        <w:rPr>
          <w:rFonts w:hint="eastAsia" w:ascii="黑体" w:hAnsi="黑体" w:eastAsia="黑体" w:cs="黑体"/>
          <w:lang w:val="en-US" w:eastAsia="zh-CN"/>
        </w:rPr>
        <w:t xml:space="preserve">  </w:t>
      </w:r>
      <w:r>
        <w:rPr>
          <w:rFonts w:hint="eastAsia"/>
        </w:rPr>
        <w:t>交易服务要求</w:t>
      </w:r>
    </w:p>
    <w:p>
      <w:pPr>
        <w:pStyle w:val="67"/>
        <w:numPr>
          <w:ilvl w:val="1"/>
          <w:numId w:val="0"/>
        </w:numPr>
        <w:spacing w:before="156" w:after="156"/>
        <w:ind w:leftChars="0"/>
        <w:rPr>
          <w:rFonts w:hint="default"/>
          <w:lang w:val="en-US"/>
        </w:rPr>
      </w:pPr>
      <w:r>
        <w:rPr>
          <w:rFonts w:hint="eastAsia" w:hAnsi="黑体" w:cs="黑体"/>
          <w:lang w:val="en-US" w:eastAsia="zh-CN"/>
        </w:rPr>
        <w:t>11</w:t>
      </w:r>
      <w:r>
        <w:rPr>
          <w:rFonts w:hint="eastAsia" w:ascii="黑体" w:hAnsi="黑体" w:eastAsia="黑体" w:cs="黑体"/>
          <w:lang w:val="en-US" w:eastAsia="zh-CN"/>
        </w:rPr>
        <w:t>.</w:t>
      </w:r>
      <w:r>
        <w:rPr>
          <w:rFonts w:hint="eastAsia" w:hAnsi="黑体" w:cs="黑体"/>
          <w:lang w:val="en-US" w:eastAsia="zh-CN"/>
        </w:rPr>
        <w:t xml:space="preserve">1  </w:t>
      </w:r>
      <w:r>
        <w:rPr>
          <w:rFonts w:hint="eastAsia" w:ascii="宋体" w:hAnsi="宋体" w:eastAsia="宋体" w:cs="宋体"/>
          <w:lang w:val="en-US" w:eastAsia="zh-CN"/>
        </w:rPr>
        <w:t>网络交易平台应建立品质管控体系，定期或按需抽样检测珠宝饰品产品达标情况，并根据监测结果实施品质管控措施。</w:t>
      </w:r>
    </w:p>
    <w:p>
      <w:pPr>
        <w:pStyle w:val="67"/>
        <w:numPr>
          <w:ilvl w:val="1"/>
          <w:numId w:val="0"/>
        </w:numPr>
        <w:spacing w:before="156" w:after="156"/>
        <w:ind w:leftChars="0"/>
        <w:rPr>
          <w:rFonts w:hint="default"/>
          <w:lang w:val="en-US"/>
        </w:rPr>
      </w:pPr>
      <w:r>
        <w:rPr>
          <w:rFonts w:hint="eastAsia" w:hAnsi="黑体" w:cs="黑体"/>
          <w:lang w:val="en-US" w:eastAsia="zh-CN"/>
        </w:rPr>
        <w:t>11</w:t>
      </w:r>
      <w:r>
        <w:rPr>
          <w:rFonts w:hint="eastAsia" w:ascii="黑体" w:hAnsi="黑体" w:eastAsia="黑体" w:cs="黑体"/>
          <w:lang w:val="en-US" w:eastAsia="zh-CN"/>
        </w:rPr>
        <w:t>.</w:t>
      </w:r>
      <w:r>
        <w:rPr>
          <w:rFonts w:hint="eastAsia" w:hAnsi="黑体" w:cs="黑体"/>
          <w:lang w:val="en-US" w:eastAsia="zh-CN"/>
        </w:rPr>
        <w:t xml:space="preserve">2  </w:t>
      </w:r>
      <w:r>
        <w:rPr>
          <w:rFonts w:hint="eastAsia" w:ascii="宋体" w:hAnsi="宋体" w:eastAsia="宋体"/>
        </w:rPr>
        <w:t>网络交易</w:t>
      </w:r>
      <w:r>
        <w:rPr>
          <w:rFonts w:hint="eastAsia" w:ascii="宋体" w:hAnsi="宋体" w:eastAsia="宋体"/>
          <w:spacing w:val="-7"/>
        </w:rPr>
        <w:t>平台应建立产品追溯体系，对销售产品进行环节跟踪检查和验收，</w:t>
      </w:r>
      <w:r>
        <w:rPr>
          <w:rFonts w:hint="eastAsia" w:ascii="宋体" w:hAnsi="宋体" w:eastAsia="宋体"/>
          <w:spacing w:val="-5"/>
        </w:rPr>
        <w:t>对发现夸大宣传、假冒伪劣等质量问题的产品追溯其生产、营销的主体，必要时配合有关部门进行处置</w:t>
      </w:r>
      <w:r>
        <w:rPr>
          <w:rFonts w:hint="eastAsia" w:ascii="宋体" w:hAnsi="宋体" w:eastAsia="宋体" w:cs="宋体"/>
          <w:lang w:val="en-US" w:eastAsia="zh-CN"/>
        </w:rPr>
        <w:t>。</w:t>
      </w:r>
    </w:p>
    <w:p>
      <w:pPr>
        <w:pStyle w:val="67"/>
        <w:numPr>
          <w:ilvl w:val="1"/>
          <w:numId w:val="0"/>
        </w:numPr>
        <w:spacing w:before="156" w:after="156"/>
        <w:ind w:leftChars="0"/>
        <w:rPr>
          <w:rFonts w:hint="eastAsia"/>
        </w:rPr>
      </w:pPr>
      <w:r>
        <w:rPr>
          <w:rFonts w:hint="eastAsia" w:hAnsi="黑体" w:cs="黑体"/>
          <w:lang w:val="en-US" w:eastAsia="zh-CN"/>
        </w:rPr>
        <w:t>11</w:t>
      </w:r>
      <w:r>
        <w:rPr>
          <w:rFonts w:hint="eastAsia" w:ascii="黑体" w:hAnsi="黑体" w:eastAsia="黑体" w:cs="黑体"/>
          <w:lang w:val="en-US" w:eastAsia="zh-CN"/>
        </w:rPr>
        <w:t>.</w:t>
      </w:r>
      <w:r>
        <w:rPr>
          <w:rFonts w:hint="eastAsia" w:hAnsi="黑体" w:cs="黑体"/>
          <w:lang w:val="en-US" w:eastAsia="zh-CN"/>
        </w:rPr>
        <w:t xml:space="preserve">3  </w:t>
      </w:r>
      <w:r>
        <w:rPr>
          <w:rFonts w:hint="eastAsia" w:ascii="宋体" w:hAnsi="宋体" w:eastAsia="宋体"/>
        </w:rPr>
        <w:t>网络交易</w:t>
      </w:r>
      <w:r>
        <w:rPr>
          <w:rFonts w:ascii="宋体" w:hAnsi="宋体" w:eastAsia="宋体" w:cs="Arial"/>
          <w:shd w:val="clear" w:color="auto" w:fill="FFFFFF"/>
        </w:rPr>
        <w:t>平台可以对已确定或足以认定知识产权侵权的行为依据平台规则采取处理措施</w:t>
      </w:r>
      <w:r>
        <w:rPr>
          <w:rFonts w:hint="eastAsia" w:ascii="宋体" w:hAnsi="宋体" w:eastAsia="宋体" w:cs="宋体"/>
          <w:lang w:val="en-US" w:eastAsia="zh-CN"/>
        </w:rPr>
        <w:t>。</w:t>
      </w: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pStyle w:val="2"/>
        <w:spacing w:before="1" w:line="276" w:lineRule="auto"/>
        <w:ind w:right="466"/>
        <w:jc w:val="center"/>
        <w:rPr>
          <w:rFonts w:hint="eastAsia" w:ascii="黑体" w:hAnsi="黑体" w:eastAsia="黑体" w:cs="黑体"/>
        </w:rPr>
      </w:pPr>
    </w:p>
    <w:p>
      <w:pPr>
        <w:rPr>
          <w:rFonts w:hint="eastAsia" w:ascii="黑体" w:hAnsi="黑体" w:eastAsia="黑体" w:cs="黑体"/>
        </w:rPr>
      </w:pPr>
      <w:r>
        <w:rPr>
          <w:rFonts w:hint="eastAsia" w:ascii="黑体" w:hAnsi="黑体" w:eastAsia="黑体" w:cs="黑体"/>
        </w:rPr>
        <w:br w:type="page"/>
      </w:r>
    </w:p>
    <w:p>
      <w:pPr>
        <w:pStyle w:val="2"/>
        <w:spacing w:before="1" w:line="276" w:lineRule="auto"/>
        <w:ind w:right="466"/>
        <w:jc w:val="center"/>
        <w:rPr>
          <w:rFonts w:hint="eastAsia" w:ascii="黑体" w:hAnsi="黑体" w:eastAsia="黑体" w:cs="黑体"/>
        </w:rPr>
      </w:pPr>
      <w:r>
        <w:rPr>
          <w:rFonts w:hint="eastAsia" w:ascii="黑体" w:hAnsi="黑体" w:eastAsia="黑体" w:cs="黑体"/>
        </w:rPr>
        <w:t xml:space="preserve">附录A </w:t>
      </w:r>
    </w:p>
    <w:p>
      <w:pPr>
        <w:pStyle w:val="2"/>
        <w:spacing w:before="1" w:line="276" w:lineRule="auto"/>
        <w:ind w:right="466"/>
        <w:jc w:val="center"/>
        <w:rPr>
          <w:rFonts w:hint="eastAsia"/>
          <w:lang w:eastAsia="zh-CN"/>
        </w:rPr>
      </w:pPr>
      <w:r>
        <w:rPr>
          <w:rFonts w:hint="eastAsia" w:ascii="黑体" w:hAnsi="黑体" w:eastAsia="黑体" w:cs="黑体"/>
          <w:lang w:eastAsia="zh-CN"/>
        </w:rPr>
        <w:t>（资料性）</w:t>
      </w:r>
    </w:p>
    <w:p>
      <w:pPr>
        <w:pStyle w:val="2"/>
        <w:spacing w:before="1" w:line="276" w:lineRule="auto"/>
        <w:ind w:right="466"/>
        <w:jc w:val="center"/>
        <w:rPr>
          <w:rFonts w:hint="eastAsia"/>
          <w:lang w:eastAsia="zh-CN"/>
        </w:rPr>
      </w:pPr>
      <w:r>
        <w:rPr>
          <w:rFonts w:hint="eastAsia" w:ascii="黑体" w:hAnsi="黑体" w:eastAsia="黑体" w:cs="黑体"/>
          <w:lang w:eastAsia="zh-CN"/>
        </w:rPr>
        <w:t>CNAS认可的</w:t>
      </w:r>
      <w:r>
        <w:rPr>
          <w:rFonts w:hint="eastAsia" w:ascii="黑体" w:hAnsi="黑体" w:eastAsia="黑体" w:cs="黑体"/>
        </w:rPr>
        <w:t>检测机构</w:t>
      </w:r>
      <w:r>
        <w:rPr>
          <w:rFonts w:hint="eastAsia" w:ascii="黑体" w:hAnsi="黑体" w:eastAsia="黑体" w:cs="黑体"/>
          <w:lang w:eastAsia="zh-CN"/>
        </w:rPr>
        <w:t>名称</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0" w:firstLine="420" w:firstLineChars="200"/>
        <w:textAlignment w:val="auto"/>
        <w:rPr>
          <w:rFonts w:ascii="黑体" w:hAnsi="黑体" w:eastAsia="黑体"/>
        </w:rPr>
      </w:pPr>
      <w:r>
        <w:rPr>
          <w:rFonts w:hint="eastAsia" w:ascii="宋体" w:hAnsi="宋体" w:eastAsia="宋体" w:cs="宋体"/>
          <w:lang w:eastAsia="zh-CN"/>
        </w:rPr>
        <w:t>CNAS认可的</w:t>
      </w:r>
      <w:r>
        <w:rPr>
          <w:rFonts w:hint="eastAsia" w:ascii="宋体" w:hAnsi="宋体" w:eastAsia="宋体" w:cs="宋体"/>
        </w:rPr>
        <w:t>珠宝玉石及贵金属饰品检测机构名称一览表见表A.1，排序不分先后</w:t>
      </w:r>
    </w:p>
    <w:p>
      <w:pPr>
        <w:pStyle w:val="2"/>
        <w:spacing w:before="156" w:beforeLines="50" w:after="62" w:afterLines="20"/>
        <w:ind w:right="465"/>
        <w:jc w:val="center"/>
        <w:rPr>
          <w:lang w:eastAsia="zh-CN"/>
        </w:rPr>
      </w:pPr>
      <w:r>
        <w:rPr>
          <w:rFonts w:hint="eastAsia" w:ascii="黑体" w:hAnsi="黑体" w:eastAsia="黑体" w:cs="黑体"/>
          <w:lang w:eastAsia="zh-CN"/>
        </w:rPr>
        <w:t xml:space="preserve">表A.1 </w:t>
      </w:r>
      <w:r>
        <w:rPr>
          <w:rFonts w:hint="eastAsia" w:ascii="黑体" w:hAnsi="黑体" w:eastAsia="黑体" w:cs="黑体"/>
          <w:lang w:val="en-US" w:eastAsia="zh-CN"/>
        </w:rPr>
        <w:t xml:space="preserve"> </w:t>
      </w:r>
      <w:r>
        <w:rPr>
          <w:rFonts w:hint="eastAsia" w:ascii="黑体" w:hAnsi="黑体" w:eastAsia="黑体" w:cs="黑体"/>
        </w:rPr>
        <w:t>检测机构</w:t>
      </w:r>
      <w:r>
        <w:rPr>
          <w:rFonts w:hint="eastAsia" w:ascii="黑体" w:hAnsi="黑体" w:eastAsia="黑体" w:cs="黑体"/>
          <w:lang w:eastAsia="zh-CN"/>
        </w:rPr>
        <w:t>名称</w:t>
      </w:r>
    </w:p>
    <w:tbl>
      <w:tblPr>
        <w:tblStyle w:val="33"/>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2"/>
        <w:gridCol w:w="7861"/>
        <w:gridCol w:w="99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bottom w:val="single" w:color="000000" w:sz="12" w:space="0"/>
            </w:tcBorders>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序号</w:t>
            </w:r>
          </w:p>
        </w:tc>
        <w:tc>
          <w:tcPr>
            <w:tcW w:w="4109" w:type="pct"/>
            <w:tcBorders>
              <w:bottom w:val="single" w:color="000000" w:sz="12" w:space="0"/>
            </w:tcBorders>
            <w:noWrap w:val="0"/>
            <w:vAlign w:val="top"/>
          </w:tcPr>
          <w:p>
            <w:pPr>
              <w:pStyle w:val="2"/>
              <w:spacing w:before="1" w:line="276" w:lineRule="auto"/>
              <w:ind w:right="466"/>
              <w:jc w:val="center"/>
              <w:rPr>
                <w:rFonts w:hint="eastAsia" w:ascii="宋体" w:hAnsi="宋体" w:eastAsia="宋体" w:cs="宋体"/>
                <w:sz w:val="18"/>
                <w:szCs w:val="18"/>
              </w:rPr>
            </w:pPr>
            <w:r>
              <w:rPr>
                <w:rFonts w:hint="eastAsia" w:ascii="宋体" w:hAnsi="宋体" w:eastAsia="宋体" w:cs="宋体"/>
                <w:sz w:val="18"/>
                <w:szCs w:val="18"/>
              </w:rPr>
              <w:t>名称</w:t>
            </w:r>
          </w:p>
        </w:tc>
        <w:tc>
          <w:tcPr>
            <w:tcW w:w="518" w:type="pct"/>
            <w:tcBorders>
              <w:bottom w:val="single" w:color="000000" w:sz="12" w:space="0"/>
            </w:tcBorders>
            <w:noWrap w:val="0"/>
            <w:vAlign w:val="center"/>
          </w:tcPr>
          <w:p>
            <w:pPr>
              <w:pStyle w:val="2"/>
              <w:spacing w:before="1" w:line="276" w:lineRule="auto"/>
              <w:ind w:right="32"/>
              <w:jc w:val="center"/>
              <w:rPr>
                <w:rFonts w:hint="eastAsia" w:ascii="宋体" w:hAnsi="宋体" w:eastAsia="宋体" w:cs="宋体"/>
                <w:sz w:val="18"/>
                <w:szCs w:val="18"/>
              </w:rPr>
            </w:pPr>
            <w:r>
              <w:rPr>
                <w:rFonts w:hint="eastAsia" w:ascii="宋体" w:hAnsi="宋体" w:eastAsia="宋体" w:cs="宋体"/>
                <w:sz w:val="18"/>
                <w:szCs w:val="18"/>
              </w:rPr>
              <w:t>地区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op w:val="single" w:color="000000" w:sz="12" w:space="0"/>
              <w:tl2br w:val="nil"/>
              <w:tr2bl w:val="nil"/>
            </w:tcBorders>
            <w:noWrap w:val="0"/>
            <w:vAlign w:val="top"/>
          </w:tcPr>
          <w:p>
            <w:pPr>
              <w:pStyle w:val="2"/>
              <w:spacing w:before="1" w:line="276" w:lineRule="auto"/>
              <w:ind w:right="466"/>
              <w:rPr>
                <w:kern w:val="0"/>
                <w:sz w:val="18"/>
                <w:lang w:eastAsia="zh-CN" w:bidi="ar-SA"/>
              </w:rPr>
            </w:pPr>
            <w:r>
              <w:rPr>
                <w:rFonts w:hint="eastAsia"/>
                <w:sz w:val="18"/>
                <w:lang w:eastAsia="zh-CN"/>
              </w:rPr>
              <w:t>国家首饰质量监督检验中心（深圳实验室）</w:t>
            </w:r>
          </w:p>
        </w:tc>
        <w:tc>
          <w:tcPr>
            <w:tcW w:w="518" w:type="pct"/>
            <w:vMerge w:val="restart"/>
            <w:tcBorders>
              <w:top w:val="single" w:color="000000" w:sz="12" w:space="0"/>
              <w:tl2br w:val="nil"/>
              <w:tr2bl w:val="nil"/>
            </w:tcBorders>
            <w:noWrap w:val="0"/>
            <w:vAlign w:val="center"/>
          </w:tcPr>
          <w:p>
            <w:pPr>
              <w:bidi w:val="0"/>
              <w:jc w:val="center"/>
              <w:rPr>
                <w:lang w:eastAsia="zh-CN"/>
              </w:rPr>
            </w:pPr>
            <w:r>
              <w:rPr>
                <w:rFonts w:hint="eastAsia"/>
                <w:sz w:val="18"/>
                <w:szCs w:val="18"/>
                <w:lang w:eastAsia="zh-CN"/>
              </w:rPr>
              <w:t>深圳</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rFonts w:hint="eastAsia"/>
                <w:sz w:val="18"/>
                <w:lang w:eastAsia="zh-CN"/>
              </w:rPr>
            </w:pPr>
            <w:r>
              <w:rPr>
                <w:sz w:val="18"/>
              </w:rPr>
              <w:t>国家珠宝玉石质量监督检验中心</w:t>
            </w:r>
            <w:r>
              <w:rPr>
                <w:rFonts w:hint="eastAsia"/>
                <w:sz w:val="18"/>
                <w:lang w:eastAsia="zh-CN"/>
              </w:rPr>
              <w:t>（</w:t>
            </w:r>
            <w:r>
              <w:rPr>
                <w:sz w:val="18"/>
              </w:rPr>
              <w:t>深圳实验室</w:t>
            </w:r>
            <w:r>
              <w:rPr>
                <w:rFonts w:hint="eastAsia"/>
                <w:sz w:val="18"/>
                <w:lang w:eastAsia="zh-CN"/>
              </w:rPr>
              <w:t>）</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广东省珠宝玉石及贵金属检测中心</w:t>
            </w:r>
            <w:r>
              <w:rPr>
                <w:rFonts w:hint="eastAsia"/>
                <w:sz w:val="18"/>
                <w:lang w:eastAsia="zh-CN"/>
              </w:rPr>
              <w:t>（深圳实验室）</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深圳市计量质量检测研究院</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深圳海关工业品检测技术中心</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深圳市深国检珠宝检测有限公司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华测珠宝钟表检测技术（深圳）有限公司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华测检测认证集团股份有限公司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华津国检（深圳）金银珠宝检验中心有限公司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深圳市金质金银珠宝检验研究中心有限公司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中质国检(深圳)金银珠宝质量检测中心有限公司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深圳市国检珠宝检测检验中心有限公司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深圳市国测金银珠宝质量检测中心有限公司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深圳市点金贵金属精炼有限公司检测中心</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深圳市众恒隆实业有限公司实验室</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深圳中质珠宝首饰检测有限公司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深圳百泰投资控股集团有限公司检测中心</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rFonts w:hint="eastAsia"/>
                <w:sz w:val="18"/>
              </w:rPr>
              <w:t>国检华南珠宝检测（深圳）有限公司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深圳市周大福珠宝制造有限公司贵金属检测中心</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周大福珠宝金行(深圳)有限公司珠宝检验中心</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深圳市甘露珠宝首饰检测中心有限公司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深圳中金国银珠宝检测有限公司</w:t>
            </w:r>
          </w:p>
        </w:tc>
        <w:tc>
          <w:tcPr>
            <w:tcW w:w="518" w:type="pct"/>
            <w:vMerge w:val="continue"/>
            <w:tcBorders>
              <w:tl2br w:val="nil"/>
              <w:tr2bl w:val="nil"/>
            </w:tcBorders>
            <w:noWrap w:val="0"/>
            <w:vAlign w:val="center"/>
          </w:tcPr>
          <w:p>
            <w:pPr>
              <w:pStyle w:val="2"/>
              <w:spacing w:before="1" w:line="276" w:lineRule="auto"/>
              <w:ind w:right="466"/>
              <w:jc w:val="center"/>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sz w:val="18"/>
              </w:rPr>
              <w:t>国家珠宝玉石质量监督检验中心</w:t>
            </w:r>
            <w:r>
              <w:rPr>
                <w:rFonts w:hint="eastAsia"/>
                <w:sz w:val="18"/>
                <w:lang w:eastAsia="zh-CN"/>
              </w:rPr>
              <w:t>（广州</w:t>
            </w:r>
            <w:r>
              <w:rPr>
                <w:sz w:val="18"/>
              </w:rPr>
              <w:t>实验室</w:t>
            </w:r>
            <w:r>
              <w:rPr>
                <w:rFonts w:hint="eastAsia"/>
                <w:sz w:val="18"/>
                <w:lang w:eastAsia="zh-CN"/>
              </w:rPr>
              <w:t>）</w:t>
            </w:r>
          </w:p>
        </w:tc>
        <w:tc>
          <w:tcPr>
            <w:tcW w:w="518" w:type="pct"/>
            <w:vMerge w:val="restart"/>
            <w:tcBorders>
              <w:tl2br w:val="nil"/>
              <w:tr2bl w:val="nil"/>
            </w:tcBorders>
            <w:noWrap w:val="0"/>
            <w:vAlign w:val="center"/>
          </w:tcPr>
          <w:p>
            <w:pPr>
              <w:bidi w:val="0"/>
              <w:jc w:val="center"/>
              <w:rPr>
                <w:rFonts w:hint="eastAsia"/>
                <w:lang w:eastAsia="zh-CN"/>
              </w:rPr>
            </w:pPr>
            <w:r>
              <w:rPr>
                <w:rFonts w:hint="eastAsia"/>
                <w:sz w:val="18"/>
                <w:szCs w:val="18"/>
                <w:lang w:eastAsia="zh-CN"/>
              </w:rPr>
              <w:t>广东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rFonts w:hint="eastAsia"/>
                <w:sz w:val="18"/>
                <w:lang w:eastAsia="zh-CN"/>
              </w:rPr>
            </w:pPr>
            <w:r>
              <w:rPr>
                <w:sz w:val="18"/>
              </w:rPr>
              <w:t>国家珠宝玉石质量监督检验中心</w:t>
            </w:r>
            <w:r>
              <w:rPr>
                <w:rFonts w:hint="eastAsia"/>
                <w:sz w:val="18"/>
                <w:lang w:eastAsia="zh-CN"/>
              </w:rPr>
              <w:t>（</w:t>
            </w:r>
            <w:r>
              <w:rPr>
                <w:sz w:val="18"/>
              </w:rPr>
              <w:t>平洲实验室</w:t>
            </w:r>
            <w:r>
              <w:rPr>
                <w:rFonts w:hint="eastAsia"/>
                <w:sz w:val="18"/>
                <w:lang w:eastAsia="zh-CN"/>
              </w:rPr>
              <w:t>）</w:t>
            </w:r>
          </w:p>
        </w:tc>
        <w:tc>
          <w:tcPr>
            <w:tcW w:w="518" w:type="pct"/>
            <w:vMerge w:val="continue"/>
            <w:tcBorders>
              <w:tl2br w:val="nil"/>
              <w:tr2bl w:val="nil"/>
            </w:tcBorders>
            <w:noWrap w:val="0"/>
            <w:vAlign w:val="top"/>
          </w:tcPr>
          <w:p>
            <w:pPr>
              <w:pStyle w:val="2"/>
              <w:spacing w:before="1" w:line="276" w:lineRule="auto"/>
              <w:ind w:right="466"/>
              <w:jc w:val="left"/>
              <w:rPr>
                <w:rFonts w:hint="eastAsia"/>
                <w:sz w:val="18"/>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rFonts w:hint="eastAsia"/>
                <w:kern w:val="0"/>
                <w:sz w:val="18"/>
                <w:lang w:eastAsia="zh-CN" w:bidi="ar-SA"/>
              </w:rPr>
            </w:pPr>
            <w:r>
              <w:rPr>
                <w:sz w:val="18"/>
              </w:rPr>
              <w:t>广东省珠宝玉石及贵金属检测中心</w:t>
            </w:r>
            <w:r>
              <w:rPr>
                <w:rFonts w:hint="eastAsia"/>
                <w:sz w:val="18"/>
                <w:lang w:eastAsia="zh-CN"/>
              </w:rPr>
              <w:t>（</w:t>
            </w:r>
            <w:r>
              <w:rPr>
                <w:sz w:val="18"/>
              </w:rPr>
              <w:t>广东省技术监督珠宝玉石质量监督检验站</w:t>
            </w:r>
            <w:r>
              <w:rPr>
                <w:rFonts w:hint="eastAsia"/>
                <w:sz w:val="18"/>
                <w:lang w:eastAsia="zh-CN"/>
              </w:rPr>
              <w:t>）</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rFonts w:hint="eastAsia"/>
                <w:kern w:val="0"/>
                <w:sz w:val="18"/>
                <w:lang w:eastAsia="zh-CN" w:bidi="ar-SA"/>
              </w:rPr>
            </w:pPr>
            <w:r>
              <w:rPr>
                <w:sz w:val="18"/>
              </w:rPr>
              <w:t>广东省珠宝玉石及贵金属检测中心</w:t>
            </w:r>
            <w:r>
              <w:rPr>
                <w:rFonts w:hint="eastAsia"/>
                <w:sz w:val="18"/>
                <w:lang w:eastAsia="zh-CN"/>
              </w:rPr>
              <w:t>（荔湾广场实验室）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kern w:val="0"/>
                <w:sz w:val="18"/>
                <w:lang w:eastAsia="zh-CN" w:bidi="ar-SA"/>
              </w:rPr>
            </w:pPr>
            <w:r>
              <w:rPr>
                <w:sz w:val="18"/>
              </w:rPr>
              <w:t>广东省珠宝玉石及贵金属检测中心</w:t>
            </w:r>
            <w:r>
              <w:rPr>
                <w:rFonts w:hint="eastAsia"/>
                <w:sz w:val="18"/>
                <w:lang w:eastAsia="zh-CN"/>
              </w:rPr>
              <w:t>（玉器街实验室）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sz w:val="18"/>
              </w:rPr>
            </w:pPr>
            <w:r>
              <w:rPr>
                <w:rFonts w:hint="eastAsia" w:ascii="宋体" w:hAnsi="宋体" w:eastAsia="宋体" w:cs="宋体"/>
                <w:color w:val="auto"/>
                <w:sz w:val="18"/>
                <w:lang w:eastAsia="zh-CN"/>
              </w:rPr>
              <w:t>广东省珠宝玉石及贵金属检测中心（华林国际实验室）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rFonts w:hint="eastAsia" w:ascii="宋体" w:hAnsi="宋体" w:eastAsia="宋体" w:cs="宋体"/>
                <w:sz w:val="18"/>
                <w:lang w:eastAsia="zh-CN"/>
              </w:rPr>
            </w:pPr>
            <w:r>
              <w:rPr>
                <w:rFonts w:hint="eastAsia" w:ascii="宋体" w:hAnsi="宋体" w:eastAsia="宋体" w:cs="宋体"/>
                <w:sz w:val="18"/>
                <w:lang w:eastAsia="zh-CN"/>
              </w:rPr>
              <w:t>广东省珠宝玉石及贵金属检测中心（番禺实验室）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bottom w:val="single" w:color="000000" w:sz="12" w:space="0"/>
              <w:tl2br w:val="nil"/>
              <w:tr2bl w:val="nil"/>
            </w:tcBorders>
            <w:noWrap w:val="0"/>
            <w:vAlign w:val="center"/>
          </w:tcPr>
          <w:p>
            <w:pPr>
              <w:pStyle w:val="2"/>
              <w:spacing w:before="1" w:line="276" w:lineRule="auto"/>
              <w:ind w:right="466"/>
              <w:jc w:val="center"/>
              <w:rPr>
                <w:rFonts w:hint="eastAsia"/>
                <w:kern w:val="0"/>
                <w:sz w:val="18"/>
                <w:lang w:eastAsia="zh-CN" w:bidi="ar-SA"/>
              </w:rPr>
            </w:pPr>
            <w:r>
              <w:rPr>
                <w:rFonts w:hint="eastAsia" w:ascii="黑体" w:hAnsi="黑体" w:eastAsia="黑体" w:cs="黑体"/>
                <w:sz w:val="18"/>
                <w:szCs w:val="18"/>
                <w:lang w:eastAsia="zh-CN"/>
              </w:rPr>
              <w:t>表A.1</w:t>
            </w:r>
            <w:r>
              <w:rPr>
                <w:rFonts w:hint="eastAsia" w:ascii="宋体" w:hAnsi="宋体" w:eastAsia="宋体" w:cs="宋体"/>
                <w:sz w:val="18"/>
                <w:szCs w:val="18"/>
                <w:lang w:eastAsia="zh-CN"/>
              </w:rPr>
              <w:t>（第2页/共5页）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bottom w:val="single" w:color="000000" w:sz="12" w:space="0"/>
            </w:tcBorders>
            <w:noWrap w:val="0"/>
            <w:vAlign w:val="center"/>
          </w:tcPr>
          <w:p>
            <w:pPr>
              <w:numPr>
                <w:ilvl w:val="0"/>
                <w:numId w:val="0"/>
              </w:numPr>
              <w:tabs>
                <w:tab w:val="left" w:pos="397"/>
                <w:tab w:val="left" w:pos="840"/>
              </w:tabs>
              <w:ind w:left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4109" w:type="pct"/>
            <w:tcBorders>
              <w:top w:val="single" w:color="000000" w:sz="12" w:space="0"/>
              <w:bottom w:val="single" w:color="000000" w:sz="12" w:space="0"/>
            </w:tcBorders>
            <w:noWrap w:val="0"/>
            <w:vAlign w:val="top"/>
          </w:tcPr>
          <w:p>
            <w:pPr>
              <w:pStyle w:val="2"/>
              <w:spacing w:before="1" w:line="276" w:lineRule="auto"/>
              <w:ind w:right="466" w:right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名称</w:t>
            </w:r>
          </w:p>
        </w:tc>
        <w:tc>
          <w:tcPr>
            <w:tcW w:w="518" w:type="pct"/>
            <w:tcBorders>
              <w:top w:val="single" w:color="000000" w:sz="12" w:space="0"/>
              <w:bottom w:val="single" w:color="000000" w:sz="12" w:space="0"/>
            </w:tcBorders>
            <w:noWrap w:val="0"/>
            <w:vAlign w:val="top"/>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地</w:t>
            </w:r>
            <w:r>
              <w:rPr>
                <w:rFonts w:hint="eastAsia" w:ascii="宋体" w:hAnsi="宋体" w:eastAsia="宋体" w:cs="宋体"/>
                <w:sz w:val="18"/>
                <w:szCs w:val="18"/>
                <w:lang w:val="en-US" w:eastAsia="zh-CN"/>
              </w:rPr>
              <w:t>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op w:val="single" w:color="000000" w:sz="12" w:space="0"/>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lang w:eastAsia="zh-CN"/>
              </w:rPr>
              <w:t>广东省珠宝玉石及贵金属检测中心</w:t>
            </w:r>
            <w:r>
              <w:rPr>
                <w:rFonts w:hint="eastAsia"/>
                <w:sz w:val="18"/>
                <w:lang w:eastAsia="zh-CN"/>
              </w:rPr>
              <w:t>（总部实验室）</w:t>
            </w:r>
          </w:p>
        </w:tc>
        <w:tc>
          <w:tcPr>
            <w:tcW w:w="518" w:type="pct"/>
            <w:vMerge w:val="restart"/>
            <w:tcBorders>
              <w:top w:val="single" w:color="000000" w:sz="12" w:space="0"/>
              <w:tl2br w:val="nil"/>
              <w:tr2bl w:val="nil"/>
            </w:tcBorders>
            <w:noWrap w:val="0"/>
            <w:vAlign w:val="center"/>
          </w:tcPr>
          <w:p>
            <w:pPr>
              <w:bidi w:val="0"/>
              <w:jc w:val="center"/>
              <w:rPr>
                <w:rFonts w:hint="default"/>
                <w:szCs w:val="18"/>
                <w:lang w:val="en-US" w:eastAsia="zh-CN"/>
              </w:rPr>
            </w:pPr>
            <w:r>
              <w:rPr>
                <w:rFonts w:hint="eastAsia"/>
                <w:sz w:val="18"/>
                <w:szCs w:val="18"/>
                <w:lang w:val="en-US" w:eastAsia="zh-CN"/>
              </w:rPr>
              <w:t>广东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lang w:eastAsia="zh-CN"/>
              </w:rPr>
              <w:t>广东省珠宝玉石及贵金属检测中心</w:t>
            </w:r>
            <w:r>
              <w:rPr>
                <w:rFonts w:hint="eastAsia"/>
                <w:sz w:val="18"/>
                <w:lang w:eastAsia="zh-CN"/>
              </w:rPr>
              <w:t>（平洲实验室）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lang w:eastAsia="zh-CN"/>
              </w:rPr>
              <w:t>广东省珠宝玉石及贵金属检测中心</w:t>
            </w:r>
            <w:r>
              <w:rPr>
                <w:rFonts w:hint="eastAsia"/>
                <w:sz w:val="18"/>
                <w:lang w:eastAsia="zh-CN"/>
              </w:rPr>
              <w:t>（揭阳实验室）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lang w:eastAsia="zh-CN"/>
              </w:rPr>
              <w:t>广东省珠宝玉石及贵金属检测中心</w:t>
            </w:r>
            <w:r>
              <w:rPr>
                <w:rFonts w:hint="eastAsia"/>
                <w:sz w:val="18"/>
                <w:lang w:eastAsia="zh-CN"/>
              </w:rPr>
              <w:t>（四会实验室）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广东省质量监督金银珠宝玉石检验站</w:t>
            </w:r>
            <w:r>
              <w:rPr>
                <w:rFonts w:hint="eastAsia"/>
                <w:sz w:val="18"/>
                <w:lang w:eastAsia="zh-CN"/>
              </w:rPr>
              <w:t>（广州）</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广东省科学院工业分析检测中心</w:t>
            </w:r>
            <w:r>
              <w:rPr>
                <w:rFonts w:hint="eastAsia"/>
                <w:sz w:val="18"/>
                <w:lang w:eastAsia="zh-CN"/>
              </w:rPr>
              <w:t>（广州）</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广东省东莞市质量监督检测中心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广东省揭阳市质量计量监督检测所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广东省珠海市质量计量监督检测所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佛山市质量计量监督检测中心（检测实验室）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广州市花都质量技术监督检测所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广东省金银珠宝检测中心有限公司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广州中工珠宝检测中心有限公司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lang w:eastAsia="zh-CN"/>
              </w:rPr>
              <w:t>广州利桦珠宝有限公司实验室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佛山市顺德区裕达珠宝首饰制造有限公司珠宝检验中心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广东顺德周大福珠宝制造有限公司贵金属检测中心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rPr>
              <w:t>国家首饰质量监督检验中心</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北京</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国家珠宝玉石质量监督检验中心</w:t>
            </w:r>
            <w:r>
              <w:rPr>
                <w:rFonts w:hint="eastAsia"/>
                <w:sz w:val="18"/>
                <w:lang w:eastAsia="zh-CN"/>
              </w:rPr>
              <w:t>（北京实验室）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北京市中工商联珠宝检测中心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北京北大宝石鉴定中心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中检质技（北京）金银珠宝质量检验中心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国标（北京）检验认证有限公司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北京工美检测有限公司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中国检验认证集团北京有限公司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北京中地大珠宝鉴定中心有限公司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北京中质信诚珠宝检测中心有限公司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国家金银饰品质量监督检验中心（天津）</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中钢集团天津地质研究院有限公司地质矿产测试中心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河北省产品质量监督检验研究院</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河北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河北省金银宝玉饰品质量监督检验站</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唐山市计量测试所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黑体" w:hAnsi="黑体" w:eastAsia="黑体" w:cs="黑体"/>
                <w:kern w:val="2"/>
                <w:sz w:val="18"/>
                <w:szCs w:val="18"/>
                <w:lang w:val="en-US" w:eastAsia="zh-CN" w:bidi="ar-SA"/>
              </w:rPr>
            </w:pPr>
            <w:r>
              <w:rPr>
                <w:sz w:val="18"/>
              </w:rPr>
              <w:t>唐山市宝玉石产品质量监督检验站</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河北省计量监督检测研究院廊坊分院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rFonts w:hint="eastAsia"/>
                <w:sz w:val="18"/>
                <w:lang w:eastAsia="zh-CN"/>
              </w:rPr>
              <w:t>华勘（石家庄）珠宝首饰检测有限公司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bottom w:val="single" w:color="000000" w:sz="12" w:space="0"/>
              <w:tl2br w:val="nil"/>
              <w:tr2bl w:val="nil"/>
            </w:tcBorders>
            <w:noWrap w:val="0"/>
            <w:vAlign w:val="center"/>
          </w:tcPr>
          <w:p>
            <w:pPr>
              <w:pStyle w:val="2"/>
              <w:spacing w:before="1" w:line="276" w:lineRule="auto"/>
              <w:ind w:right="466"/>
              <w:jc w:val="center"/>
              <w:rPr>
                <w:rFonts w:hint="eastAsia"/>
                <w:kern w:val="0"/>
                <w:sz w:val="18"/>
                <w:lang w:eastAsia="zh-CN" w:bidi="ar-SA"/>
              </w:rPr>
            </w:pPr>
            <w:r>
              <w:rPr>
                <w:rFonts w:hint="eastAsia" w:ascii="黑体" w:hAnsi="黑体" w:eastAsia="黑体" w:cs="黑体"/>
                <w:kern w:val="0"/>
                <w:sz w:val="18"/>
                <w:lang w:eastAsia="zh-CN" w:bidi="ar-SA"/>
              </w:rPr>
              <w:t>表A.1</w:t>
            </w:r>
            <w:r>
              <w:rPr>
                <w:rFonts w:hint="eastAsia" w:ascii="宋体" w:hAnsi="宋体" w:eastAsia="宋体" w:cs="宋体"/>
                <w:kern w:val="0"/>
                <w:sz w:val="18"/>
                <w:lang w:eastAsia="zh-CN" w:bidi="ar-SA"/>
              </w:rPr>
              <w:t>（第3页/共5页）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bottom w:val="single" w:color="000000" w:sz="12" w:space="0"/>
            </w:tcBorders>
            <w:noWrap w:val="0"/>
            <w:vAlign w:val="center"/>
          </w:tcPr>
          <w:p>
            <w:pPr>
              <w:numPr>
                <w:ilvl w:val="0"/>
                <w:numId w:val="0"/>
              </w:numPr>
              <w:tabs>
                <w:tab w:val="left" w:pos="397"/>
                <w:tab w:val="left" w:pos="840"/>
              </w:tabs>
              <w:ind w:left="0" w:leftChars="0" w:firstLine="0" w:firstLineChars="0"/>
              <w:jc w:val="center"/>
              <w:rPr>
                <w:rFonts w:hint="eastAsia" w:ascii="黑体" w:hAnsi="黑体" w:eastAsia="黑体" w:cs="黑体"/>
                <w:sz w:val="18"/>
                <w:szCs w:val="18"/>
                <w:lang w:val="en-US" w:eastAsia="zh-CN"/>
              </w:rPr>
            </w:pPr>
            <w:r>
              <w:rPr>
                <w:rFonts w:hint="eastAsia" w:ascii="宋体" w:hAnsi="宋体" w:eastAsia="宋体" w:cs="宋体"/>
                <w:sz w:val="18"/>
                <w:szCs w:val="18"/>
                <w:lang w:val="en-US" w:eastAsia="zh-CN"/>
              </w:rPr>
              <w:t>序号</w:t>
            </w:r>
          </w:p>
        </w:tc>
        <w:tc>
          <w:tcPr>
            <w:tcW w:w="4109" w:type="pct"/>
            <w:tcBorders>
              <w:top w:val="single" w:color="000000" w:sz="12" w:space="0"/>
              <w:bottom w:val="single" w:color="000000" w:sz="12" w:space="0"/>
            </w:tcBorders>
            <w:noWrap w:val="0"/>
            <w:vAlign w:val="top"/>
          </w:tcPr>
          <w:p>
            <w:pPr>
              <w:pStyle w:val="2"/>
              <w:spacing w:before="1" w:line="276" w:lineRule="auto"/>
              <w:ind w:right="466" w:rightChars="0"/>
              <w:jc w:val="center"/>
              <w:rPr>
                <w:rFonts w:hint="default" w:ascii="宋体" w:hAnsi="宋体" w:eastAsia="宋体" w:cs="宋体"/>
                <w:sz w:val="18"/>
                <w:lang w:val="en-US" w:eastAsia="zh-CN"/>
              </w:rPr>
            </w:pPr>
            <w:r>
              <w:rPr>
                <w:rFonts w:hint="eastAsia" w:ascii="宋体" w:hAnsi="宋体" w:eastAsia="宋体" w:cs="宋体"/>
                <w:sz w:val="18"/>
                <w:szCs w:val="18"/>
                <w:lang w:val="en-US" w:eastAsia="zh-CN"/>
              </w:rPr>
              <w:t>名称</w:t>
            </w:r>
          </w:p>
        </w:tc>
        <w:tc>
          <w:tcPr>
            <w:tcW w:w="518" w:type="pct"/>
            <w:tcBorders>
              <w:top w:val="single" w:color="000000" w:sz="12" w:space="0"/>
              <w:bottom w:val="single" w:color="000000" w:sz="12" w:space="0"/>
            </w:tcBorders>
            <w:noWrap w:val="0"/>
            <w:vAlign w:val="top"/>
          </w:tcPr>
          <w:p>
            <w:pPr>
              <w:jc w:val="center"/>
              <w:rPr>
                <w:rFonts w:hint="eastAsia"/>
                <w:kern w:val="0"/>
                <w:sz w:val="18"/>
                <w:lang w:eastAsia="zh-CN" w:bidi="ar-SA"/>
              </w:rPr>
            </w:pPr>
            <w:r>
              <w:rPr>
                <w:rFonts w:hint="eastAsia" w:ascii="宋体" w:hAnsi="宋体" w:cs="宋体"/>
                <w:sz w:val="18"/>
                <w:szCs w:val="18"/>
                <w:lang w:val="en-US" w:eastAsia="zh-CN"/>
              </w:rPr>
              <w:t>地</w:t>
            </w:r>
            <w:r>
              <w:rPr>
                <w:rFonts w:hint="eastAsia" w:ascii="宋体" w:hAnsi="宋体" w:eastAsia="宋体" w:cs="宋体"/>
                <w:sz w:val="18"/>
                <w:szCs w:val="18"/>
                <w:lang w:val="en-US" w:eastAsia="zh-CN"/>
              </w:rPr>
              <w:t>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op w:val="single" w:color="000000" w:sz="12" w:space="0"/>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内蒙古自治区产品质量检验研究院</w:t>
            </w:r>
          </w:p>
        </w:tc>
        <w:tc>
          <w:tcPr>
            <w:tcW w:w="518" w:type="pct"/>
            <w:tcBorders>
              <w:top w:val="single" w:color="000000" w:sz="12" w:space="0"/>
              <w:tl2br w:val="nil"/>
              <w:tr2bl w:val="nil"/>
            </w:tcBorders>
            <w:noWrap w:val="0"/>
            <w:vAlign w:val="center"/>
          </w:tcPr>
          <w:p>
            <w:pPr>
              <w:bidi w:val="0"/>
              <w:rPr>
                <w:rFonts w:hint="default"/>
                <w:kern w:val="0"/>
                <w:lang w:val="en-US" w:eastAsia="zh-CN" w:bidi="ar-SA"/>
              </w:rPr>
            </w:pPr>
            <w:r>
              <w:rPr>
                <w:rFonts w:hint="eastAsia"/>
                <w:sz w:val="18"/>
                <w:szCs w:val="18"/>
                <w:lang w:val="en-US" w:eastAsia="zh-CN"/>
              </w:rPr>
              <w:t>内蒙古</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rFonts w:hint="eastAsia"/>
                <w:sz w:val="18"/>
                <w:lang w:eastAsia="zh-CN"/>
              </w:rPr>
              <w:t>国家珠宝首饰质量监督检验中心（重庆）</w:t>
            </w:r>
          </w:p>
        </w:tc>
        <w:tc>
          <w:tcPr>
            <w:tcW w:w="518" w:type="pc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重庆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国家珠宝玉石质量监督检验中心</w:t>
            </w:r>
            <w:r>
              <w:rPr>
                <w:rFonts w:hint="eastAsia"/>
                <w:sz w:val="18"/>
                <w:lang w:eastAsia="zh-CN"/>
              </w:rPr>
              <w:t>（</w:t>
            </w:r>
            <w:r>
              <w:rPr>
                <w:sz w:val="18"/>
              </w:rPr>
              <w:t>上海实验室</w:t>
            </w:r>
            <w:r>
              <w:rPr>
                <w:rFonts w:hint="eastAsia"/>
                <w:sz w:val="18"/>
                <w:lang w:eastAsia="zh-CN"/>
              </w:rPr>
              <w:t>）</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上海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国家金银制品质量监督检验中心(上海)</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上海市质量监督检验技术研究院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上海老庙黄金有限公司珠宝科研检测中心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江苏省质量技术监督珠宝首饰产品质量检验站</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江苏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国家金银制品质量监督检验中心（南京）</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连云港质量技术监督金银珠宝饰品产品质量检验站</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扬州市产品质量监督检验所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常州市计量测试技术研究所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南通市计量检定测试所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盐城市计量测试所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江苏省黄金珠宝检测中心有限公司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南京珠宝研究检测中心有限公司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浙江省黄金珠宝饰品质量检验中心</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浙江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国家珠宝玉石质量监督检验中心</w:t>
            </w:r>
            <w:r>
              <w:rPr>
                <w:rFonts w:hint="eastAsia"/>
                <w:sz w:val="18"/>
                <w:lang w:eastAsia="zh-CN"/>
              </w:rPr>
              <w:t>（诸暨</w:t>
            </w:r>
            <w:r>
              <w:rPr>
                <w:sz w:val="18"/>
              </w:rPr>
              <w:t>实验室</w:t>
            </w:r>
            <w:r>
              <w:rPr>
                <w:rFonts w:hint="eastAsia"/>
                <w:sz w:val="18"/>
                <w:lang w:eastAsia="zh-CN"/>
              </w:rPr>
              <w:t>）</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浙江省地质矿产研究所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宁波市产品食品质量检验研究院杭州市质量技术监督检测院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温州市质量技术检测科学研究院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宁波市产品食品质量检验研究院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绍兴市质量技术监督检测院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宁波海关技术中心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浙江方圆检测集团股份有限公司</w:t>
            </w:r>
            <w:r>
              <w:rPr>
                <w:rFonts w:hint="eastAsia"/>
                <w:sz w:val="18"/>
                <w:lang w:eastAsia="zh-CN"/>
              </w:rPr>
              <w:t>（浙江省黄金珠宝饰品质量检验中心）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福建省测试技术研究所（福建省分析测试中心）</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福建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福建紫金矿冶测试技术有限公司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福建晶坤尚检测技术有限公司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安徽省产品质量监督检验研究院</w:t>
            </w:r>
          </w:p>
        </w:tc>
        <w:tc>
          <w:tcPr>
            <w:tcW w:w="518" w:type="pc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安徽</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山东省计量科学研究院</w:t>
            </w:r>
            <w:r>
              <w:rPr>
                <w:rFonts w:hint="eastAsia"/>
                <w:sz w:val="18"/>
                <w:lang w:eastAsia="zh-CN"/>
              </w:rPr>
              <w:t>（</w:t>
            </w:r>
            <w:r>
              <w:rPr>
                <w:sz w:val="18"/>
              </w:rPr>
              <w:t>国家黄金钻石制品质量监督检验中心</w:t>
            </w:r>
            <w:r>
              <w:rPr>
                <w:rFonts w:hint="eastAsia"/>
                <w:sz w:val="18"/>
                <w:lang w:eastAsia="zh-CN"/>
              </w:rPr>
              <w:t>）</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山东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济南市计量检定测试院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烟台市产品质量监督检验所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Pr>
                <w:rFonts w:hint="eastAsia" w:ascii="宋体" w:hAnsi="宋体" w:eastAsia="宋体" w:cs="宋体"/>
                <w:sz w:val="18"/>
                <w:lang w:eastAsia="zh-CN"/>
              </w:rPr>
            </w:pPr>
            <w:r>
              <w:rPr>
                <w:sz w:val="18"/>
              </w:rPr>
              <w:t>中宝正信金银珠宝首饰检测有限公司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中恒诺贵金属检测有限公司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山东金联首饰检测有限公司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bottom w:val="single" w:color="000000" w:sz="12" w:space="0"/>
              <w:tl2br w:val="nil"/>
              <w:tr2bl w:val="nil"/>
            </w:tcBorders>
            <w:noWrap w:val="0"/>
            <w:vAlign w:val="center"/>
          </w:tcPr>
          <w:p>
            <w:pPr>
              <w:pStyle w:val="2"/>
              <w:spacing w:before="1" w:line="276" w:lineRule="auto"/>
              <w:ind w:right="466"/>
              <w:jc w:val="center"/>
              <w:rPr>
                <w:rFonts w:hint="eastAsia"/>
                <w:kern w:val="0"/>
                <w:sz w:val="18"/>
                <w:lang w:eastAsia="zh-CN" w:bidi="ar-SA"/>
              </w:rPr>
            </w:pPr>
            <w:r>
              <w:rPr>
                <w:rFonts w:hint="eastAsia" w:ascii="黑体" w:hAnsi="黑体" w:eastAsia="黑体" w:cs="黑体"/>
                <w:kern w:val="0"/>
                <w:sz w:val="18"/>
                <w:lang w:eastAsia="zh-CN" w:bidi="ar-SA"/>
              </w:rPr>
              <w:t>表A.1</w:t>
            </w:r>
            <w:r>
              <w:rPr>
                <w:rFonts w:hint="eastAsia" w:ascii="宋体" w:hAnsi="宋体" w:eastAsia="宋体" w:cs="宋体"/>
                <w:kern w:val="0"/>
                <w:sz w:val="18"/>
                <w:lang w:eastAsia="zh-CN" w:bidi="ar-SA"/>
              </w:rPr>
              <w:t>（第</w:t>
            </w:r>
            <w:r>
              <w:rPr>
                <w:rFonts w:hint="eastAsia" w:ascii="宋体" w:hAnsi="宋体" w:cs="宋体"/>
                <w:kern w:val="0"/>
                <w:sz w:val="18"/>
                <w:lang w:val="en-US" w:eastAsia="zh-CN" w:bidi="ar-SA"/>
              </w:rPr>
              <w:t>4</w:t>
            </w:r>
            <w:r>
              <w:rPr>
                <w:rFonts w:hint="eastAsia" w:ascii="宋体" w:hAnsi="宋体" w:eastAsia="宋体" w:cs="宋体"/>
                <w:kern w:val="0"/>
                <w:sz w:val="18"/>
                <w:lang w:eastAsia="zh-CN" w:bidi="ar-SA"/>
              </w:rPr>
              <w:t>页/共5页）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bottom w:val="single" w:color="000000" w:sz="12" w:space="0"/>
            </w:tcBorders>
            <w:noWrap w:val="0"/>
            <w:vAlign w:val="center"/>
          </w:tcPr>
          <w:p>
            <w:pPr>
              <w:numPr>
                <w:ilvl w:val="0"/>
                <w:numId w:val="0"/>
              </w:numPr>
              <w:tabs>
                <w:tab w:val="left" w:pos="397"/>
                <w:tab w:val="left" w:pos="840"/>
              </w:tabs>
              <w:ind w:left="0" w:leftChars="0" w:firstLine="0" w:firstLineChars="0"/>
              <w:jc w:val="center"/>
              <w:rPr>
                <w:rFonts w:hint="eastAsia" w:ascii="黑体" w:hAnsi="黑体" w:eastAsia="黑体" w:cs="黑体"/>
                <w:kern w:val="2"/>
                <w:sz w:val="18"/>
                <w:szCs w:val="18"/>
                <w:lang w:val="en-US" w:eastAsia="zh-CN" w:bidi="ar-SA"/>
              </w:rPr>
            </w:pPr>
            <w:r>
              <w:rPr>
                <w:rFonts w:hint="eastAsia" w:ascii="宋体" w:hAnsi="宋体" w:eastAsia="宋体" w:cs="宋体"/>
                <w:sz w:val="18"/>
                <w:szCs w:val="18"/>
                <w:lang w:val="en-US" w:eastAsia="zh-CN"/>
              </w:rPr>
              <w:t>序号</w:t>
            </w:r>
          </w:p>
        </w:tc>
        <w:tc>
          <w:tcPr>
            <w:tcW w:w="4109" w:type="pct"/>
            <w:tcBorders>
              <w:top w:val="single" w:color="000000" w:sz="12" w:space="0"/>
              <w:bottom w:val="single" w:color="000000" w:sz="12" w:space="0"/>
            </w:tcBorders>
            <w:noWrap w:val="0"/>
            <w:vAlign w:val="top"/>
          </w:tcPr>
          <w:p>
            <w:pPr>
              <w:pStyle w:val="2"/>
              <w:spacing w:before="1" w:line="276" w:lineRule="auto"/>
              <w:ind w:right="466" w:rightChars="0"/>
              <w:jc w:val="center"/>
              <w:rPr>
                <w:rFonts w:hint="eastAsia" w:ascii="宋体" w:hAnsi="宋体" w:eastAsia="宋体" w:cs="宋体"/>
                <w:kern w:val="2"/>
                <w:sz w:val="18"/>
                <w:szCs w:val="21"/>
                <w:lang w:val="en-US" w:eastAsia="zh-CN" w:bidi="ar-SA"/>
              </w:rPr>
            </w:pPr>
            <w:r>
              <w:rPr>
                <w:rFonts w:hint="eastAsia" w:ascii="宋体" w:hAnsi="宋体" w:eastAsia="宋体" w:cs="宋体"/>
                <w:sz w:val="18"/>
                <w:szCs w:val="18"/>
                <w:lang w:val="en-US" w:eastAsia="zh-CN"/>
              </w:rPr>
              <w:t>名称</w:t>
            </w:r>
          </w:p>
        </w:tc>
        <w:tc>
          <w:tcPr>
            <w:tcW w:w="518" w:type="pct"/>
            <w:tcBorders>
              <w:top w:val="single" w:color="000000" w:sz="12" w:space="0"/>
              <w:bottom w:val="single" w:color="000000" w:sz="12" w:space="0"/>
            </w:tcBorders>
            <w:noWrap w:val="0"/>
            <w:vAlign w:val="top"/>
          </w:tcPr>
          <w:p>
            <w:pPr>
              <w:jc w:val="center"/>
              <w:rPr>
                <w:rFonts w:hint="eastAsia" w:ascii="Times New Roman" w:hAnsi="Times New Roman" w:eastAsia="宋体" w:cs="Times New Roman"/>
                <w:kern w:val="0"/>
                <w:sz w:val="18"/>
                <w:szCs w:val="24"/>
                <w:lang w:val="en-US" w:eastAsia="zh-CN" w:bidi="ar-SA"/>
              </w:rPr>
            </w:pPr>
            <w:r>
              <w:rPr>
                <w:rFonts w:hint="eastAsia" w:ascii="宋体" w:hAnsi="宋体" w:cs="宋体"/>
                <w:sz w:val="18"/>
                <w:szCs w:val="18"/>
                <w:lang w:val="en-US" w:eastAsia="zh-CN"/>
              </w:rPr>
              <w:t>地</w:t>
            </w:r>
            <w:r>
              <w:rPr>
                <w:rFonts w:hint="eastAsia" w:ascii="宋体" w:hAnsi="宋体" w:eastAsia="宋体" w:cs="宋体"/>
                <w:sz w:val="18"/>
                <w:szCs w:val="18"/>
                <w:lang w:val="en-US" w:eastAsia="zh-CN"/>
              </w:rPr>
              <w:t>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op w:val="single" w:color="000000" w:sz="12" w:space="0"/>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广西壮族自治区产品质量检验研究院</w:t>
            </w:r>
          </w:p>
        </w:tc>
        <w:tc>
          <w:tcPr>
            <w:tcW w:w="518" w:type="pct"/>
            <w:vMerge w:val="restart"/>
            <w:tcBorders>
              <w:top w:val="single" w:color="000000" w:sz="12" w:space="0"/>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广西</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北海市产品质量检验所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海南省产品质量监督检验所</w:t>
            </w:r>
          </w:p>
        </w:tc>
        <w:tc>
          <w:tcPr>
            <w:tcW w:w="518" w:type="pc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海南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国家珠宝玉石质量监督检验中心</w:t>
            </w:r>
            <w:r>
              <w:rPr>
                <w:rFonts w:hint="eastAsia"/>
                <w:sz w:val="18"/>
                <w:lang w:eastAsia="zh-CN"/>
              </w:rPr>
              <w:t>（中国香港</w:t>
            </w:r>
            <w:r>
              <w:rPr>
                <w:sz w:val="18"/>
              </w:rPr>
              <w:t>实验室</w:t>
            </w:r>
            <w:r>
              <w:rPr>
                <w:rFonts w:hint="eastAsia"/>
                <w:sz w:val="18"/>
                <w:lang w:eastAsia="zh-CN"/>
              </w:rPr>
              <w:t>）</w:t>
            </w:r>
          </w:p>
        </w:tc>
        <w:tc>
          <w:tcPr>
            <w:tcW w:w="518" w:type="pc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中国香港</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哈尔滨海关技术中心归类鉴定部</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黑龙江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哈尔滨市产品质量监督检验院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哈尔滨海关技术中心东宁综合实验室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长春黄金研究院有限公司</w:t>
            </w:r>
            <w:r>
              <w:rPr>
                <w:rFonts w:hint="eastAsia"/>
                <w:sz w:val="18"/>
                <w:lang w:eastAsia="zh-CN"/>
              </w:rPr>
              <w:t>/国家金银及制品质量监督检验中心（长春）</w:t>
            </w:r>
          </w:p>
        </w:tc>
        <w:tc>
          <w:tcPr>
            <w:tcW w:w="518" w:type="pc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吉林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国家珠宝玉石质量监督检验中心</w:t>
            </w:r>
            <w:r>
              <w:rPr>
                <w:rFonts w:hint="eastAsia"/>
                <w:sz w:val="18"/>
                <w:lang w:eastAsia="zh-CN"/>
              </w:rPr>
              <w:t>（沈阳</w:t>
            </w:r>
            <w:r>
              <w:rPr>
                <w:sz w:val="18"/>
              </w:rPr>
              <w:t>实验室</w:t>
            </w:r>
            <w:r>
              <w:rPr>
                <w:rFonts w:hint="eastAsia"/>
                <w:sz w:val="18"/>
                <w:lang w:eastAsia="zh-CN"/>
              </w:rPr>
              <w:t>）</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辽宁</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大连产品质量检验检测研究院有限公司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中国印钞造币总公司沈阳造币技术研究所金银制品检验中心（沈阳）</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大连恒鑫珠宝首饰鉴定有限责任公司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国家玉石金银饰品质量监督检验中心（河南）</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河南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郑州人造金刚石及制品工程技术研究中心有限公司检测中心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武汉产品质量监督检验所</w:t>
            </w:r>
          </w:p>
        </w:tc>
        <w:tc>
          <w:tcPr>
            <w:tcW w:w="518" w:type="pct"/>
            <w:vMerge w:val="restart"/>
            <w:tcBorders>
              <w:tl2br w:val="nil"/>
              <w:tr2bl w:val="nil"/>
            </w:tcBorders>
            <w:noWrap w:val="0"/>
            <w:vAlign w:val="center"/>
          </w:tcPr>
          <w:p>
            <w:pPr>
              <w:bidi w:val="0"/>
              <w:jc w:val="center"/>
              <w:rPr>
                <w:rFonts w:hint="default"/>
                <w:kern w:val="0"/>
                <w:sz w:val="18"/>
                <w:szCs w:val="18"/>
                <w:lang w:val="en-US" w:eastAsia="zh-CN" w:bidi="ar-SA"/>
              </w:rPr>
            </w:pPr>
            <w:r>
              <w:rPr>
                <w:rFonts w:hint="eastAsia"/>
                <w:sz w:val="18"/>
                <w:szCs w:val="18"/>
                <w:lang w:val="en-US" w:eastAsia="zh-CN"/>
              </w:rPr>
              <w:t>湖北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中国地质大学（武汉）珠宝检测中心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周大福珠宝文化产业园（武汉）有限公司黄陂分公司贵金属检测中心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湖南省地质测试研究院（国土资源部长沙矿产资源监督检测中心）</w:t>
            </w:r>
          </w:p>
        </w:tc>
        <w:tc>
          <w:tcPr>
            <w:tcW w:w="518" w:type="pct"/>
            <w:vMerge w:val="restart"/>
            <w:tcBorders>
              <w:tl2br w:val="nil"/>
              <w:tr2bl w:val="nil"/>
            </w:tcBorders>
            <w:noWrap w:val="0"/>
            <w:vAlign w:val="center"/>
          </w:tcPr>
          <w:p>
            <w:pPr>
              <w:bidi w:val="0"/>
              <w:jc w:val="center"/>
              <w:rPr>
                <w:rFonts w:hint="eastAsia"/>
                <w:kern w:val="0"/>
                <w:lang w:eastAsia="zh-CN" w:bidi="ar-SA"/>
              </w:rPr>
            </w:pPr>
            <w:r>
              <w:rPr>
                <w:rFonts w:hint="eastAsia"/>
                <w:sz w:val="18"/>
                <w:szCs w:val="18"/>
                <w:lang w:val="en-US" w:eastAsia="zh-CN"/>
              </w:rPr>
              <w:t>湖南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郴州市产商品质量监督检验所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国家珠宝玉石质量监督检验中心</w:t>
            </w:r>
            <w:r>
              <w:rPr>
                <w:rFonts w:hint="eastAsia"/>
                <w:sz w:val="18"/>
                <w:lang w:eastAsia="zh-CN"/>
              </w:rPr>
              <w:t>（云南</w:t>
            </w:r>
            <w:r>
              <w:rPr>
                <w:sz w:val="18"/>
              </w:rPr>
              <w:t>实验室</w:t>
            </w:r>
            <w:r>
              <w:rPr>
                <w:rFonts w:hint="eastAsia"/>
                <w:sz w:val="18"/>
                <w:lang w:eastAsia="zh-CN"/>
              </w:rPr>
              <w:t>）</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云南</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云南省珠宝玉石质量监督检验研究院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云南省分析测试中心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云南黄金矿业集团贵金属检测有限公司</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贵州省地质矿产中心实验室（贵州省矿产品黄金宝石制品质量检验站）</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贵州</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贵阳海关综合技术中心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成都产品质量检验研究院有限责任公司</w:t>
            </w:r>
            <w:r>
              <w:rPr>
                <w:rFonts w:hint="eastAsia"/>
                <w:sz w:val="18"/>
                <w:lang w:eastAsia="zh-CN"/>
              </w:rPr>
              <w:t>/国家金银珠宝饰品质量监督检验中心</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四川</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成都海关技术中心</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b/>
                <w:bCs/>
                <w:kern w:val="2"/>
                <w:sz w:val="18"/>
                <w:szCs w:val="21"/>
                <w:lang w:val="en-US" w:eastAsia="zh-CN" w:bidi="ar-SA"/>
              </w:rPr>
            </w:pPr>
            <w:r>
              <w:rPr>
                <w:sz w:val="18"/>
              </w:rPr>
              <w:t>国家珠宝玉石质量监督检验中心</w:t>
            </w:r>
            <w:r>
              <w:rPr>
                <w:rFonts w:hint="eastAsia"/>
                <w:sz w:val="18"/>
                <w:lang w:eastAsia="zh-CN"/>
              </w:rPr>
              <w:t>（陕西</w:t>
            </w:r>
            <w:r>
              <w:rPr>
                <w:sz w:val="18"/>
              </w:rPr>
              <w:t>实验室</w:t>
            </w:r>
            <w:r>
              <w:rPr>
                <w:rFonts w:hint="eastAsia"/>
                <w:sz w:val="18"/>
                <w:lang w:eastAsia="zh-CN"/>
              </w:rPr>
              <w:t>）</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陕西</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b/>
                <w:bCs/>
                <w:kern w:val="2"/>
                <w:sz w:val="18"/>
                <w:szCs w:val="21"/>
                <w:lang w:val="en-US" w:eastAsia="zh-CN" w:bidi="ar-SA"/>
              </w:rPr>
            </w:pPr>
            <w:r>
              <w:rPr>
                <w:sz w:val="18"/>
              </w:rPr>
              <w:t>陕西省产品质量监督检验研究院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b/>
                <w:bCs/>
                <w:kern w:val="2"/>
                <w:sz w:val="18"/>
                <w:szCs w:val="21"/>
                <w:lang w:val="en-US" w:eastAsia="zh-CN" w:bidi="ar-SA"/>
              </w:rPr>
            </w:pPr>
            <w:r>
              <w:rPr>
                <w:sz w:val="18"/>
              </w:rPr>
              <w:t>西安市产品质量监督检验院</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25"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黑体" w:hAnsi="黑体" w:eastAsia="黑体" w:cs="黑体"/>
                <w:kern w:val="2"/>
                <w:sz w:val="18"/>
                <w:szCs w:val="18"/>
                <w:lang w:val="en-US" w:eastAsia="zh-CN" w:bidi="ar-SA"/>
              </w:rPr>
            </w:pPr>
            <w:r>
              <w:rPr>
                <w:sz w:val="18"/>
              </w:rPr>
              <w:t>中国地质调查局西安地质调查中心实验测试室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7"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甘肃省产品质量监督检验研究院</w:t>
            </w:r>
          </w:p>
        </w:tc>
        <w:tc>
          <w:tcPr>
            <w:tcW w:w="518" w:type="pct"/>
            <w:vMerge w:val="restart"/>
            <w:tcBorders>
              <w:tl2br w:val="nil"/>
              <w:tr2bl w:val="nil"/>
            </w:tcBorders>
            <w:noWrap w:val="0"/>
            <w:vAlign w:val="center"/>
          </w:tcPr>
          <w:p>
            <w:pPr>
              <w:bidi w:val="0"/>
              <w:jc w:val="center"/>
              <w:rPr>
                <w:rFonts w:hint="default"/>
                <w:kern w:val="0"/>
                <w:lang w:val="en-US" w:eastAsia="zh-CN" w:bidi="ar-SA"/>
              </w:rPr>
            </w:pPr>
            <w:r>
              <w:rPr>
                <w:rFonts w:hint="eastAsia"/>
                <w:sz w:val="18"/>
                <w:szCs w:val="18"/>
                <w:lang w:val="en-US" w:eastAsia="zh-CN"/>
              </w:rPr>
              <w:t>甘肃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rPr>
              <w:t>甘肃省地质矿产勘查开发局第三地质矿产勘查院（甘肃省中心实验室）</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bottom w:val="single" w:color="000000" w:sz="12" w:space="0"/>
              <w:tl2br w:val="nil"/>
              <w:tr2bl w:val="nil"/>
            </w:tcBorders>
            <w:noWrap w:val="0"/>
            <w:vAlign w:val="center"/>
          </w:tcPr>
          <w:p>
            <w:pPr>
              <w:pStyle w:val="2"/>
              <w:spacing w:before="1" w:line="276" w:lineRule="auto"/>
              <w:ind w:right="466"/>
              <w:jc w:val="center"/>
              <w:rPr>
                <w:rFonts w:hint="eastAsia"/>
                <w:kern w:val="0"/>
                <w:sz w:val="18"/>
                <w:lang w:eastAsia="zh-CN" w:bidi="ar-SA"/>
              </w:rPr>
            </w:pPr>
            <w:r>
              <w:rPr>
                <w:rFonts w:hint="eastAsia" w:ascii="宋体" w:hAnsi="宋体" w:eastAsia="宋体" w:cs="宋体"/>
                <w:kern w:val="0"/>
                <w:sz w:val="18"/>
                <w:lang w:eastAsia="zh-CN" w:bidi="ar-SA"/>
              </w:rPr>
              <w:t>表A.1 （第</w:t>
            </w:r>
            <w:r>
              <w:rPr>
                <w:rFonts w:hint="eastAsia" w:ascii="宋体" w:hAnsi="宋体" w:cs="宋体"/>
                <w:kern w:val="0"/>
                <w:sz w:val="18"/>
                <w:lang w:val="en-US" w:eastAsia="zh-CN" w:bidi="ar-SA"/>
              </w:rPr>
              <w:t>5</w:t>
            </w:r>
            <w:r>
              <w:rPr>
                <w:rFonts w:hint="eastAsia" w:ascii="宋体" w:hAnsi="宋体" w:eastAsia="宋体" w:cs="宋体"/>
                <w:kern w:val="0"/>
                <w:sz w:val="18"/>
                <w:lang w:eastAsia="zh-CN" w:bidi="ar-SA"/>
              </w:rPr>
              <w:t>页/共5页）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bottom w:val="single" w:color="000000" w:sz="12" w:space="0"/>
            </w:tcBorders>
            <w:noWrap w:val="0"/>
            <w:vAlign w:val="center"/>
          </w:tcPr>
          <w:p>
            <w:pPr>
              <w:numPr>
                <w:ilvl w:val="0"/>
                <w:numId w:val="0"/>
              </w:numPr>
              <w:tabs>
                <w:tab w:val="left" w:pos="397"/>
                <w:tab w:val="left" w:pos="840"/>
              </w:tabs>
              <w:ind w:left="0" w:leftChars="0" w:firstLine="0" w:firstLineChars="0"/>
              <w:jc w:val="center"/>
              <w:rPr>
                <w:rFonts w:hint="eastAsia" w:ascii="黑体" w:hAnsi="黑体" w:eastAsia="黑体" w:cs="黑体"/>
                <w:kern w:val="2"/>
                <w:sz w:val="18"/>
                <w:szCs w:val="18"/>
                <w:lang w:val="en-US" w:eastAsia="zh-CN" w:bidi="ar-SA"/>
              </w:rPr>
            </w:pPr>
            <w:r>
              <w:rPr>
                <w:rFonts w:hint="eastAsia" w:ascii="宋体" w:hAnsi="宋体" w:eastAsia="宋体" w:cs="宋体"/>
                <w:sz w:val="18"/>
                <w:szCs w:val="18"/>
                <w:lang w:val="en-US" w:eastAsia="zh-CN"/>
              </w:rPr>
              <w:t>序号</w:t>
            </w:r>
          </w:p>
        </w:tc>
        <w:tc>
          <w:tcPr>
            <w:tcW w:w="4109" w:type="pct"/>
            <w:tcBorders>
              <w:top w:val="single" w:color="000000" w:sz="12" w:space="0"/>
              <w:bottom w:val="single" w:color="000000" w:sz="12" w:space="0"/>
            </w:tcBorders>
            <w:noWrap w:val="0"/>
            <w:vAlign w:val="top"/>
          </w:tcPr>
          <w:p>
            <w:pPr>
              <w:pStyle w:val="2"/>
              <w:spacing w:before="1" w:line="276" w:lineRule="auto"/>
              <w:ind w:right="466" w:rightChars="0"/>
              <w:jc w:val="center"/>
              <w:rPr>
                <w:rFonts w:hint="eastAsia" w:ascii="宋体" w:hAnsi="宋体" w:eastAsia="宋体" w:cs="宋体"/>
                <w:kern w:val="2"/>
                <w:sz w:val="18"/>
                <w:szCs w:val="21"/>
                <w:lang w:val="en-US" w:eastAsia="zh-CN" w:bidi="ar-SA"/>
              </w:rPr>
            </w:pPr>
            <w:r>
              <w:rPr>
                <w:rFonts w:hint="eastAsia" w:ascii="宋体" w:hAnsi="宋体" w:eastAsia="宋体" w:cs="宋体"/>
                <w:sz w:val="18"/>
                <w:szCs w:val="18"/>
                <w:lang w:val="en-US" w:eastAsia="zh-CN"/>
              </w:rPr>
              <w:t>名称</w:t>
            </w:r>
          </w:p>
        </w:tc>
        <w:tc>
          <w:tcPr>
            <w:tcW w:w="518" w:type="pct"/>
            <w:tcBorders>
              <w:top w:val="single" w:color="000000" w:sz="12" w:space="0"/>
              <w:bottom w:val="single" w:color="000000" w:sz="12" w:space="0"/>
            </w:tcBorders>
            <w:noWrap w:val="0"/>
            <w:vAlign w:val="top"/>
          </w:tcPr>
          <w:p>
            <w:pPr>
              <w:jc w:val="center"/>
              <w:rPr>
                <w:rFonts w:hint="eastAsia" w:ascii="Times New Roman" w:hAnsi="Times New Roman" w:eastAsia="宋体" w:cs="Times New Roman"/>
                <w:kern w:val="0"/>
                <w:sz w:val="18"/>
                <w:szCs w:val="24"/>
                <w:lang w:val="en-US" w:eastAsia="zh-CN" w:bidi="ar-SA"/>
              </w:rPr>
            </w:pPr>
            <w:r>
              <w:rPr>
                <w:rFonts w:hint="eastAsia" w:ascii="宋体" w:hAnsi="宋体" w:cs="宋体"/>
                <w:sz w:val="18"/>
                <w:szCs w:val="18"/>
                <w:lang w:val="en-US" w:eastAsia="zh-CN"/>
              </w:rPr>
              <w:t>地</w:t>
            </w:r>
            <w:r>
              <w:rPr>
                <w:rFonts w:hint="eastAsia" w:ascii="宋体" w:hAnsi="宋体" w:eastAsia="宋体" w:cs="宋体"/>
                <w:sz w:val="18"/>
                <w:szCs w:val="18"/>
                <w:lang w:val="en-US" w:eastAsia="zh-CN"/>
              </w:rPr>
              <w:t>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op w:val="single" w:color="000000" w:sz="12" w:space="0"/>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op w:val="single" w:color="000000" w:sz="12" w:space="0"/>
              <w:tl2br w:val="nil"/>
              <w:tr2bl w:val="nil"/>
            </w:tcBorders>
            <w:noWrap w:val="0"/>
            <w:vAlign w:val="top"/>
          </w:tcPr>
          <w:p>
            <w:pPr>
              <w:pStyle w:val="2"/>
              <w:spacing w:before="1" w:line="276" w:lineRule="auto"/>
              <w:ind w:right="466" w:rightChars="0"/>
              <w:rPr>
                <w:sz w:val="18"/>
              </w:rPr>
            </w:pPr>
            <w:r>
              <w:rPr>
                <w:sz w:val="18"/>
              </w:rPr>
              <w:t>青海省地质矿产测试应用中心</w:t>
            </w:r>
          </w:p>
        </w:tc>
        <w:tc>
          <w:tcPr>
            <w:tcW w:w="518" w:type="pct"/>
            <w:tcBorders>
              <w:top w:val="single" w:color="000000" w:sz="12" w:space="0"/>
              <w:tl2br w:val="nil"/>
              <w:tr2bl w:val="nil"/>
            </w:tcBorders>
            <w:noWrap w:val="0"/>
            <w:vAlign w:val="center"/>
          </w:tcPr>
          <w:p>
            <w:pPr>
              <w:bidi w:val="0"/>
              <w:jc w:val="center"/>
              <w:rPr>
                <w:rFonts w:hint="default"/>
                <w:sz w:val="18"/>
                <w:szCs w:val="18"/>
                <w:lang w:val="en-US" w:eastAsia="zh-CN"/>
              </w:rPr>
            </w:pPr>
            <w:r>
              <w:rPr>
                <w:rFonts w:hint="eastAsia"/>
                <w:sz w:val="18"/>
                <w:szCs w:val="18"/>
                <w:lang w:val="en-US" w:eastAsia="zh-CN"/>
              </w:rPr>
              <w:t>甘肃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0"/>
                <w:sz w:val="18"/>
                <w:szCs w:val="21"/>
                <w:lang w:val="en-US" w:eastAsia="zh-CN" w:bidi="ar-SA"/>
              </w:rPr>
            </w:pPr>
            <w:r>
              <w:rPr>
                <w:sz w:val="18"/>
              </w:rPr>
              <w:t>产品质量监督检验研究院</w:t>
            </w:r>
          </w:p>
        </w:tc>
        <w:tc>
          <w:tcPr>
            <w:tcW w:w="518" w:type="pct"/>
            <w:vMerge w:val="restart"/>
            <w:tcBorders>
              <w:tl2br w:val="nil"/>
              <w:tr2bl w:val="nil"/>
            </w:tcBorders>
            <w:noWrap w:val="0"/>
            <w:vAlign w:val="center"/>
          </w:tcPr>
          <w:p>
            <w:pPr>
              <w:bidi w:val="0"/>
              <w:jc w:val="center"/>
              <w:rPr>
                <w:rFonts w:hint="default"/>
                <w:kern w:val="0"/>
                <w:sz w:val="18"/>
                <w:szCs w:val="18"/>
                <w:lang w:val="en-US" w:eastAsia="zh-CN" w:bidi="ar-SA"/>
              </w:rPr>
            </w:pPr>
            <w:r>
              <w:rPr>
                <w:rFonts w:hint="eastAsia"/>
                <w:sz w:val="18"/>
                <w:szCs w:val="18"/>
                <w:lang w:val="en-US" w:eastAsia="zh-CN"/>
              </w:rPr>
              <w:t>新疆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新疆维吾尔自治区矿产实验研究所</w:t>
            </w:r>
          </w:p>
        </w:tc>
        <w:tc>
          <w:tcPr>
            <w:tcW w:w="518" w:type="pct"/>
            <w:vMerge w:val="continue"/>
            <w:tcBorders>
              <w:tl2br w:val="nil"/>
              <w:tr2bl w:val="nil"/>
            </w:tcBorders>
            <w:noWrap w:val="0"/>
            <w:vAlign w:val="top"/>
          </w:tcPr>
          <w:p>
            <w:pPr>
              <w:pStyle w:val="2"/>
              <w:spacing w:before="1" w:line="276" w:lineRule="auto"/>
              <w:ind w:right="466"/>
              <w:jc w:val="left"/>
              <w:rPr>
                <w:rFonts w:hint="eastAsia"/>
                <w:kern w:val="0"/>
                <w:sz w:val="18"/>
                <w:lang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372" w:type="pct"/>
            <w:tcBorders>
              <w:tl2br w:val="nil"/>
              <w:tr2bl w:val="nil"/>
            </w:tcBorders>
            <w:noWrap w:val="0"/>
            <w:vAlign w:val="center"/>
          </w:tcPr>
          <w:p>
            <w:pPr>
              <w:numPr>
                <w:ilvl w:val="0"/>
                <w:numId w:val="18"/>
              </w:numPr>
              <w:tabs>
                <w:tab w:val="left" w:pos="397"/>
                <w:tab w:val="left" w:pos="840"/>
              </w:tabs>
              <w:jc w:val="center"/>
              <w:rPr>
                <w:rFonts w:hint="eastAsia" w:ascii="黑体" w:hAnsi="黑体" w:eastAsia="黑体" w:cs="黑体"/>
                <w:sz w:val="18"/>
                <w:szCs w:val="18"/>
              </w:rPr>
            </w:pPr>
          </w:p>
        </w:tc>
        <w:tc>
          <w:tcPr>
            <w:tcW w:w="4109" w:type="pct"/>
            <w:tcBorders>
              <w:tl2br w:val="nil"/>
              <w:tr2bl w:val="nil"/>
            </w:tcBorders>
            <w:noWrap w:val="0"/>
            <w:vAlign w:val="top"/>
          </w:tcPr>
          <w:p>
            <w:pPr>
              <w:pStyle w:val="2"/>
              <w:spacing w:before="1" w:line="276" w:lineRule="auto"/>
              <w:ind w:right="466" w:rightChars="0"/>
              <w:rPr>
                <w:rFonts w:hint="eastAsia" w:ascii="Times New Roman" w:hAnsi="Times New Roman" w:eastAsia="宋体" w:cs="Times New Roman"/>
                <w:kern w:val="2"/>
                <w:sz w:val="18"/>
                <w:szCs w:val="21"/>
                <w:lang w:val="en-US" w:eastAsia="zh-CN" w:bidi="ar-SA"/>
              </w:rPr>
            </w:pPr>
            <w:r>
              <w:rPr>
                <w:sz w:val="18"/>
              </w:rPr>
              <w:t>核工业二一六大队检测研究院</w:t>
            </w:r>
          </w:p>
        </w:tc>
        <w:tc>
          <w:tcPr>
            <w:tcW w:w="518" w:type="pct"/>
            <w:vMerge w:val="continue"/>
            <w:tcBorders>
              <w:tl2br w:val="nil"/>
              <w:tr2bl w:val="nil"/>
            </w:tcBorders>
            <w:noWrap w:val="0"/>
            <w:vAlign w:val="center"/>
          </w:tcPr>
          <w:p>
            <w:pPr>
              <w:bidi w:val="0"/>
              <w:jc w:val="center"/>
              <w:rPr>
                <w:rFonts w:hint="default"/>
                <w:kern w:val="0"/>
                <w:sz w:val="18"/>
                <w:szCs w:val="18"/>
                <w:lang w:val="en-US" w:eastAsia="zh-CN" w:bidi="ar-SA"/>
              </w:rPr>
            </w:pPr>
          </w:p>
        </w:tc>
      </w:tr>
    </w:tbl>
    <w:p>
      <w:r>
        <w:br w:type="page"/>
      </w:r>
    </w:p>
    <w:p>
      <w:pPr>
        <w:pStyle w:val="107"/>
        <w:rPr>
          <w:rFonts w:hint="eastAsia"/>
          <w:sz w:val="24"/>
          <w:szCs w:val="24"/>
        </w:rPr>
      </w:pPr>
      <w:bookmarkStart w:id="14" w:name="_Toc21105"/>
      <w:bookmarkStart w:id="15" w:name="_Toc14421"/>
      <w:bookmarkStart w:id="16" w:name="_Toc17629"/>
      <w:bookmarkStart w:id="17" w:name="_Toc89554494"/>
      <w:bookmarkStart w:id="18" w:name="_Toc14597"/>
      <w:bookmarkStart w:id="19" w:name="_Toc76145858"/>
      <w:bookmarkStart w:id="20" w:name="_Toc91173113"/>
      <w:bookmarkStart w:id="21" w:name="_Toc78900053"/>
      <w:bookmarkStart w:id="22" w:name="_Toc18710"/>
      <w:bookmarkStart w:id="23" w:name="_Toc60922245"/>
      <w:bookmarkStart w:id="24" w:name="_Toc89555188"/>
      <w:bookmarkStart w:id="25" w:name="_Toc26347"/>
      <w:bookmarkStart w:id="26" w:name="_Toc6287"/>
      <w:bookmarkStart w:id="27" w:name="_Toc16760"/>
      <w:bookmarkStart w:id="28" w:name="_Toc83384652"/>
      <w:bookmarkStart w:id="29" w:name="_Toc14769"/>
      <w:bookmarkStart w:id="30" w:name="_Toc77081405"/>
      <w:bookmarkStart w:id="31" w:name="_Toc89555076"/>
      <w:bookmarkStart w:id="32" w:name="_Toc9608"/>
      <w:bookmarkStart w:id="33" w:name="_Toc89555154"/>
      <w:bookmarkStart w:id="34" w:name="_Toc21556"/>
      <w:bookmarkStart w:id="35" w:name="_Toc25931"/>
      <w:bookmarkStart w:id="36" w:name="_Toc18524"/>
      <w:bookmarkStart w:id="37" w:name="_Toc9264"/>
      <w:bookmarkStart w:id="38" w:name="BKCKWX"/>
      <w:bookmarkStart w:id="39" w:name="_Toc74667119"/>
      <w:r>
        <w:rPr>
          <w:rFonts w:hint="eastAsia"/>
          <w:sz w:val="24"/>
          <w:szCs w:val="24"/>
        </w:rPr>
        <w:t>参</w:t>
      </w:r>
      <w:r>
        <w:rPr>
          <w:rFonts w:hAnsi="黑体"/>
          <w:sz w:val="24"/>
          <w:szCs w:val="24"/>
        </w:rPr>
        <w:t> </w:t>
      </w:r>
      <w:r>
        <w:rPr>
          <w:rFonts w:hint="eastAsia"/>
          <w:sz w:val="24"/>
          <w:szCs w:val="24"/>
        </w:rPr>
        <w:t>考</w:t>
      </w:r>
      <w:r>
        <w:rPr>
          <w:rFonts w:hAnsi="黑体"/>
          <w:sz w:val="24"/>
          <w:szCs w:val="24"/>
        </w:rPr>
        <w:t> </w:t>
      </w:r>
      <w:r>
        <w:rPr>
          <w:rFonts w:hint="eastAsia"/>
          <w:sz w:val="24"/>
          <w:szCs w:val="24"/>
        </w:rPr>
        <w:t>文</w:t>
      </w:r>
      <w:r>
        <w:rPr>
          <w:rFonts w:hAnsi="黑体"/>
          <w:sz w:val="24"/>
          <w:szCs w:val="24"/>
        </w:rPr>
        <w:t> </w:t>
      </w:r>
      <w:r>
        <w:rPr>
          <w:rFonts w:hint="eastAsia"/>
          <w:sz w:val="24"/>
          <w:szCs w:val="24"/>
        </w:rPr>
        <w:t>献</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24"/>
        <w:numPr>
          <w:ilvl w:val="0"/>
          <w:numId w:val="19"/>
        </w:numPr>
        <w:rPr>
          <w:rFonts w:hint="default" w:eastAsia="宋体"/>
          <w:lang w:val="en-US" w:eastAsia="zh-CN"/>
        </w:rPr>
      </w:pPr>
      <w:r>
        <w:rPr>
          <w:rFonts w:hint="eastAsia"/>
          <w:lang w:val="en-US" w:eastAsia="zh-CN"/>
        </w:rPr>
        <w:t xml:space="preserve"> </w:t>
      </w:r>
      <w:r>
        <w:rPr>
          <w:rFonts w:hint="eastAsia"/>
        </w:rPr>
        <w:t>全国人民代表大会常务委员会</w:t>
      </w:r>
      <w:r>
        <w:rPr>
          <w:rFonts w:hint="eastAsia" w:hAnsi="Times New Roman" w:eastAsia="宋体" w:cs="Times New Roman"/>
          <w:szCs w:val="21"/>
        </w:rPr>
        <w:t>.</w:t>
      </w:r>
      <w:r>
        <w:rPr>
          <w:rFonts w:hint="eastAsia"/>
        </w:rPr>
        <w:t>中华人民共和国消费者权益保障法</w:t>
      </w:r>
      <w:r>
        <w:rPr>
          <w:rFonts w:hint="eastAsia"/>
          <w:szCs w:val="21"/>
        </w:rPr>
        <w:t>：</w:t>
      </w:r>
      <w:r>
        <w:rPr>
          <w:rFonts w:hint="eastAsia" w:hAnsi="Times New Roman" w:eastAsia="宋体" w:cs="Times New Roman"/>
          <w:szCs w:val="21"/>
        </w:rPr>
        <w:t>中华人民共和国主席令第七号</w:t>
      </w:r>
      <w:r>
        <w:rPr>
          <w:rFonts w:hint="eastAsia" w:hAnsi="Times New Roman" w:eastAsia="宋体" w:cs="Times New Roman"/>
          <w:szCs w:val="21"/>
        </w:rPr>
        <w:t>.</w:t>
      </w:r>
      <w:r>
        <w:rPr>
          <w:rFonts w:hint="eastAsia" w:cs="Times New Roman"/>
          <w:szCs w:val="21"/>
          <w:lang w:val="en-US" w:eastAsia="zh-CN"/>
        </w:rPr>
        <w:t>2013年</w:t>
      </w:r>
    </w:p>
    <w:p>
      <w:pPr>
        <w:pStyle w:val="24"/>
        <w:numPr>
          <w:ilvl w:val="0"/>
          <w:numId w:val="19"/>
        </w:numPr>
        <w:rPr>
          <w:rFonts w:hint="eastAsia"/>
        </w:rPr>
      </w:pPr>
      <w:r>
        <w:rPr>
          <w:rFonts w:hint="eastAsia"/>
          <w:lang w:val="en-US" w:eastAsia="zh-CN"/>
        </w:rPr>
        <w:t xml:space="preserve"> </w:t>
      </w:r>
      <w:r>
        <w:rPr>
          <w:rFonts w:hint="eastAsia"/>
        </w:rPr>
        <w:t>国家工商行政管理总局</w:t>
      </w:r>
      <w:r>
        <w:rPr>
          <w:rFonts w:hint="eastAsia" w:hAnsi="Times New Roman" w:eastAsia="宋体" w:cs="Times New Roman"/>
          <w:szCs w:val="21"/>
        </w:rPr>
        <w:t>.</w:t>
      </w:r>
      <w:r>
        <w:rPr>
          <w:rFonts w:hint="eastAsia"/>
        </w:rPr>
        <w:t>网络交易管理办法</w:t>
      </w:r>
      <w:r>
        <w:rPr>
          <w:rFonts w:hint="eastAsia"/>
          <w:szCs w:val="21"/>
        </w:rPr>
        <w:t>：</w:t>
      </w:r>
      <w:r>
        <w:rPr>
          <w:rFonts w:hint="eastAsia"/>
        </w:rPr>
        <w:t>国家工商行政管理总局令第60号</w:t>
      </w:r>
      <w:r>
        <w:rPr>
          <w:rFonts w:hint="eastAsia" w:hAnsi="Times New Roman" w:eastAsia="宋体" w:cs="Times New Roman"/>
          <w:szCs w:val="21"/>
        </w:rPr>
        <w:t>.</w:t>
      </w:r>
      <w:r>
        <w:rPr>
          <w:rFonts w:hint="eastAsia" w:cs="Times New Roman"/>
          <w:szCs w:val="21"/>
          <w:lang w:val="en-US" w:eastAsia="zh-CN"/>
        </w:rPr>
        <w:t>2014年</w:t>
      </w:r>
    </w:p>
    <w:p>
      <w:pPr>
        <w:pStyle w:val="24"/>
        <w:numPr>
          <w:ilvl w:val="0"/>
          <w:numId w:val="19"/>
        </w:numPr>
        <w:rPr>
          <w:rFonts w:hint="default" w:eastAsia="宋体"/>
          <w:lang w:val="en-US" w:eastAsia="zh-CN"/>
        </w:rPr>
      </w:pPr>
      <w:r>
        <w:rPr>
          <w:rFonts w:hint="eastAsia"/>
          <w:lang w:val="en-US" w:eastAsia="zh-CN"/>
        </w:rPr>
        <w:t xml:space="preserve"> </w:t>
      </w:r>
      <w:r>
        <w:rPr>
          <w:rFonts w:hint="eastAsia"/>
        </w:rPr>
        <w:t>商务部</w:t>
      </w:r>
      <w:r>
        <w:rPr>
          <w:rFonts w:hint="eastAsia" w:hAnsi="Times New Roman" w:eastAsia="宋体" w:cs="Times New Roman"/>
          <w:szCs w:val="21"/>
        </w:rPr>
        <w:t>.</w:t>
      </w:r>
      <w:r>
        <w:rPr>
          <w:rFonts w:hint="eastAsia"/>
        </w:rPr>
        <w:t>第三方电子商务交易平台服务规范</w:t>
      </w:r>
      <w:r>
        <w:rPr>
          <w:rFonts w:hint="eastAsia"/>
          <w:szCs w:val="21"/>
        </w:rPr>
        <w:t>：</w:t>
      </w:r>
      <w:r>
        <w:rPr>
          <w:rFonts w:hint="eastAsia"/>
        </w:rPr>
        <w:t>中华人民共和国商务部公告2011年第18号</w:t>
      </w:r>
      <w:r>
        <w:rPr>
          <w:rFonts w:hint="eastAsia"/>
          <w:lang w:val="en-US" w:eastAsia="zh-CN"/>
        </w:rPr>
        <w:t>.2011年</w:t>
      </w:r>
    </w:p>
    <w:p>
      <w:pPr>
        <w:pStyle w:val="24"/>
        <w:rPr>
          <w:rFonts w:hint="eastAsia"/>
        </w:rPr>
      </w:pPr>
    </w:p>
    <w:p>
      <w:pPr>
        <w:pStyle w:val="24"/>
        <w:spacing w:beforeLines="50" w:afterLines="50"/>
        <w:ind w:firstLine="0" w:firstLineChars="0"/>
        <w:jc w:val="center"/>
        <w:rPr>
          <w:rFonts w:hint="default"/>
          <w:lang w:val="en-US" w:eastAsia="zh-CN"/>
        </w:rPr>
      </w:pPr>
    </w:p>
    <w:p>
      <w:pPr>
        <w:pStyle w:val="137"/>
        <w:framePr w:wrap="around"/>
      </w:pPr>
      <w:r>
        <w:rPr>
          <w:u w:val="thick"/>
        </w:rPr>
        <w:t>______________________</w:t>
      </w:r>
    </w:p>
    <w:p>
      <w:pPr>
        <w:tabs>
          <w:tab w:val="left" w:pos="5645"/>
        </w:tabs>
        <w:jc w:val="left"/>
      </w:pPr>
    </w:p>
    <w:p>
      <w:pPr>
        <w:pStyle w:val="137"/>
        <w:framePr w:wrap="around"/>
      </w:pPr>
    </w:p>
    <w:sectPr>
      <w:footerReference r:id="rId7"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3"/>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yIJiRzAEAAKgDAAAOAAAAAAAAAAEAIAAAAB4BAABkcnMvZTJv&#10;RG9jLnhtbFBLBQYAAAAABgAGAFkBAABcBQAAAAA=&#10;">
              <v:fill on="f" focussize="0,0"/>
              <v:stroke on="f"/>
              <v:imagedata o:title=""/>
              <o:lock v:ext="edit" aspectratio="f"/>
              <v:textbox inset="0mm,0mm,0mm,0mm" style="mso-fit-shape-to-text:t;">
                <w:txbxContent>
                  <w:p>
                    <w:pPr>
                      <w:pStyle w:val="13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3"/>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YD6e80BAACoAwAADgAAAGRycy9lMm9Eb2MueG1srVNLbtswEN0H6B0I&#10;7mspLlA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QJrzhzAlLL37++eP86/H88J0t&#10;kz59wIrK7gIVxuG9H6h2jiMFE+2hBZu+RIhRntQ9XdRVQ2QyXVotV6uSUpJys0P4xdP1ABg/KG9Z&#10;MmoO9HxZVXH8hHEsnUtSN+dvtTH5CY37K0CYY0TlHZhuJybjxMmKw26Y6O18cyJ2Pe1BzR2tPWfm&#10;oyOZ08rMBszGbjYOAfS+yzuVumN4d4g0Up40dRhhiWFy6AEz12nZ0ob86eeqpx9s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YD6e80BAACoAwAADgAAAAAAAAABACAAAAAeAQAAZHJzL2Uy&#10;b0RvYy54bWxQSwUGAAAAAAYABgBZAQAAXQUAAAAA&#10;">
              <v:fill on="f" focussize="0,0"/>
              <v:stroke on="f"/>
              <v:imagedata o:title=""/>
              <o:lock v:ext="edit" aspectratio="f"/>
              <v:textbox inset="0mm,0mm,0mm,0mm" style="mso-fit-shape-to-text:t;">
                <w:txbxContent>
                  <w:p>
                    <w:pPr>
                      <w:pStyle w:val="133"/>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pPr>
    <w:r>
      <w:rPr>
        <w:rFonts w:hint="eastAsia"/>
      </w:rPr>
      <w:t>T/SZS XXXX—2022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wordWrap w:val="0"/>
    </w:pPr>
    <w:r>
      <w:rPr>
        <w:rFonts w:hint="eastAsia"/>
      </w:rPr>
      <w:t>T/SZS XXXX—2022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15144"/>
    <w:multiLevelType w:val="singleLevel"/>
    <w:tmpl w:val="CC315144"/>
    <w:lvl w:ilvl="0" w:tentative="0">
      <w:start w:val="1"/>
      <w:numFmt w:val="decimal"/>
      <w:lvlText w:val=" %1"/>
      <w:lvlJc w:val="left"/>
      <w:pPr>
        <w:tabs>
          <w:tab w:val="left" w:pos="420"/>
        </w:tabs>
        <w:ind w:left="425" w:hanging="425"/>
      </w:pPr>
      <w:rPr>
        <w:rFonts w:hint="default" w:ascii="宋体" w:hAnsi="宋体" w:eastAsia="宋体" w:cs="宋体"/>
        <w:sz w:val="18"/>
        <w:szCs w:val="18"/>
      </w:rPr>
    </w:lvl>
  </w:abstractNum>
  <w:abstractNum w:abstractNumId="1">
    <w:nsid w:val="FE3CA746"/>
    <w:multiLevelType w:val="singleLevel"/>
    <w:tmpl w:val="FE3CA746"/>
    <w:lvl w:ilvl="0" w:tentative="0">
      <w:start w:val="1"/>
      <w:numFmt w:val="decimal"/>
      <w:suff w:val="space"/>
      <w:lvlText w:val="[%1]"/>
      <w:lvlJc w:val="left"/>
      <w:rPr>
        <w:rFonts w:hint="default" w:ascii="宋体" w:hAnsi="宋体" w:eastAsia="宋体" w:cs="宋体"/>
        <w:sz w:val="21"/>
        <w:szCs w:val="21"/>
      </w:rPr>
    </w:lvl>
  </w:abstractNum>
  <w:abstractNum w:abstractNumId="2">
    <w:nsid w:val="079102AD"/>
    <w:multiLevelType w:val="multilevel"/>
    <w:tmpl w:val="079102AD"/>
    <w:lvl w:ilvl="0" w:tentative="0">
      <w:start w:val="1"/>
      <w:numFmt w:val="decimal"/>
      <w:pStyle w:val="11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5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DE2B46"/>
    <w:multiLevelType w:val="multilevel"/>
    <w:tmpl w:val="0DDE2B46"/>
    <w:lvl w:ilvl="0" w:tentative="0">
      <w:start w:val="1"/>
      <w:numFmt w:val="lowerLetter"/>
      <w:pStyle w:val="10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13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6"/>
      <w:suff w:val="nothing"/>
      <w:lvlText w:val="%1.%2.%3　"/>
      <w:lvlJc w:val="left"/>
      <w:pPr>
        <w:ind w:left="42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7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119"/>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12"/>
      <w:suff w:val="nothing"/>
      <w:lvlText w:val="%1——"/>
      <w:lvlJc w:val="left"/>
      <w:pPr>
        <w:ind w:left="833" w:hanging="408"/>
      </w:pPr>
      <w:rPr>
        <w:rFonts w:hint="eastAsia"/>
      </w:rPr>
    </w:lvl>
    <w:lvl w:ilvl="1" w:tentative="0">
      <w:start w:val="1"/>
      <w:numFmt w:val="bullet"/>
      <w:pStyle w:val="87"/>
      <w:lvlText w:val=""/>
      <w:lvlJc w:val="left"/>
      <w:pPr>
        <w:tabs>
          <w:tab w:val="left" w:pos="760"/>
        </w:tabs>
        <w:ind w:left="1264" w:hanging="413"/>
      </w:pPr>
      <w:rPr>
        <w:rFonts w:hint="default" w:ascii="Symbol" w:hAnsi="Symbol"/>
        <w:color w:val="auto"/>
      </w:rPr>
    </w:lvl>
    <w:lvl w:ilvl="2" w:tentative="0">
      <w:start w:val="1"/>
      <w:numFmt w:val="bullet"/>
      <w:pStyle w:val="12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4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8"/>
      <w:lvlText w:val="%2)"/>
      <w:lvlJc w:val="left"/>
      <w:pPr>
        <w:tabs>
          <w:tab w:val="left" w:pos="1260"/>
        </w:tabs>
        <w:ind w:left="1259" w:hanging="419"/>
      </w:pPr>
      <w:rPr>
        <w:rFonts w:hint="eastAsia"/>
      </w:rPr>
    </w:lvl>
    <w:lvl w:ilvl="2" w:tentative="0">
      <w:start w:val="1"/>
      <w:numFmt w:val="decimal"/>
      <w:pStyle w:val="9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3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04"/>
      <w:lvlText w:val="%1"/>
      <w:lvlJc w:val="left"/>
      <w:pPr>
        <w:tabs>
          <w:tab w:val="left" w:pos="0"/>
        </w:tabs>
        <w:ind w:left="0" w:hanging="425"/>
      </w:pPr>
      <w:rPr>
        <w:rFonts w:hint="eastAsia"/>
      </w:rPr>
    </w:lvl>
    <w:lvl w:ilvl="1" w:tentative="0">
      <w:start w:val="1"/>
      <w:numFmt w:val="decimal"/>
      <w:pStyle w:val="8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1"/>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61"/>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pStyle w:val="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16"/>
      <w:lvlText w:val="%1)"/>
      <w:lvlJc w:val="left"/>
      <w:pPr>
        <w:tabs>
          <w:tab w:val="left" w:pos="839"/>
        </w:tabs>
        <w:ind w:left="839" w:hanging="419"/>
      </w:pPr>
      <w:rPr>
        <w:rFonts w:hint="eastAsia" w:ascii="宋体" w:eastAsia="宋体"/>
        <w:b w:val="0"/>
        <w:i w:val="0"/>
        <w:sz w:val="21"/>
      </w:rPr>
    </w:lvl>
    <w:lvl w:ilvl="1" w:tentative="0">
      <w:start w:val="1"/>
      <w:numFmt w:val="decimal"/>
      <w:pStyle w:val="10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8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7"/>
  </w:num>
  <w:num w:numId="3">
    <w:abstractNumId w:val="3"/>
  </w:num>
  <w:num w:numId="4">
    <w:abstractNumId w:val="4"/>
  </w:num>
  <w:num w:numId="5">
    <w:abstractNumId w:val="16"/>
  </w:num>
  <w:num w:numId="6">
    <w:abstractNumId w:val="18"/>
  </w:num>
  <w:num w:numId="7">
    <w:abstractNumId w:val="9"/>
  </w:num>
  <w:num w:numId="8">
    <w:abstractNumId w:val="14"/>
  </w:num>
  <w:num w:numId="9">
    <w:abstractNumId w:val="11"/>
  </w:num>
  <w:num w:numId="10">
    <w:abstractNumId w:val="5"/>
  </w:num>
  <w:num w:numId="11">
    <w:abstractNumId w:val="17"/>
  </w:num>
  <w:num w:numId="12">
    <w:abstractNumId w:val="12"/>
  </w:num>
  <w:num w:numId="13">
    <w:abstractNumId w:val="8"/>
  </w:num>
  <w:num w:numId="14">
    <w:abstractNumId w:val="2"/>
  </w:num>
  <w:num w:numId="15">
    <w:abstractNumId w:val="15"/>
  </w:num>
  <w:num w:numId="16">
    <w:abstractNumId w:val="6"/>
  </w:num>
  <w:num w:numId="17">
    <w:abstractNumId w:val="13"/>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YzQ1MGM2OTNkNjQ5OGZjZjJhOWNiNzA4ZGUwNzIifQ=="/>
  </w:docVars>
  <w:rsids>
    <w:rsidRoot w:val="00385191"/>
    <w:rsid w:val="00000244"/>
    <w:rsid w:val="0000185F"/>
    <w:rsid w:val="00002A40"/>
    <w:rsid w:val="0000586F"/>
    <w:rsid w:val="00013D86"/>
    <w:rsid w:val="00013E02"/>
    <w:rsid w:val="00020931"/>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3B38"/>
    <w:rsid w:val="000C6B05"/>
    <w:rsid w:val="000C6DD6"/>
    <w:rsid w:val="000C73D4"/>
    <w:rsid w:val="000D3D4C"/>
    <w:rsid w:val="000D4F51"/>
    <w:rsid w:val="000D718B"/>
    <w:rsid w:val="000E0C46"/>
    <w:rsid w:val="000E4CDC"/>
    <w:rsid w:val="000F030C"/>
    <w:rsid w:val="000F129C"/>
    <w:rsid w:val="001056DE"/>
    <w:rsid w:val="001124C0"/>
    <w:rsid w:val="0013175F"/>
    <w:rsid w:val="0013207D"/>
    <w:rsid w:val="0013402C"/>
    <w:rsid w:val="001347E2"/>
    <w:rsid w:val="001512B4"/>
    <w:rsid w:val="001620A5"/>
    <w:rsid w:val="00164E53"/>
    <w:rsid w:val="0016699D"/>
    <w:rsid w:val="00175159"/>
    <w:rsid w:val="00176208"/>
    <w:rsid w:val="00176ECA"/>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12C04"/>
    <w:rsid w:val="00226AE4"/>
    <w:rsid w:val="00234467"/>
    <w:rsid w:val="00237D8D"/>
    <w:rsid w:val="00241DA2"/>
    <w:rsid w:val="00247FEE"/>
    <w:rsid w:val="002509FA"/>
    <w:rsid w:val="00250E7D"/>
    <w:rsid w:val="00254D36"/>
    <w:rsid w:val="002565D5"/>
    <w:rsid w:val="002622C0"/>
    <w:rsid w:val="00276E33"/>
    <w:rsid w:val="002778AE"/>
    <w:rsid w:val="0028269A"/>
    <w:rsid w:val="00283590"/>
    <w:rsid w:val="00283D6F"/>
    <w:rsid w:val="00286973"/>
    <w:rsid w:val="00290C79"/>
    <w:rsid w:val="0029193D"/>
    <w:rsid w:val="00294E70"/>
    <w:rsid w:val="002A0F85"/>
    <w:rsid w:val="002A1924"/>
    <w:rsid w:val="002A7420"/>
    <w:rsid w:val="002B052D"/>
    <w:rsid w:val="002B0F12"/>
    <w:rsid w:val="002B1308"/>
    <w:rsid w:val="002B4554"/>
    <w:rsid w:val="002C478E"/>
    <w:rsid w:val="002C5E37"/>
    <w:rsid w:val="002C72D8"/>
    <w:rsid w:val="002D11FA"/>
    <w:rsid w:val="002E0DDF"/>
    <w:rsid w:val="002E2906"/>
    <w:rsid w:val="002E5635"/>
    <w:rsid w:val="002E64C3"/>
    <w:rsid w:val="002E6A2C"/>
    <w:rsid w:val="002F1D8C"/>
    <w:rsid w:val="002F21DA"/>
    <w:rsid w:val="00301F39"/>
    <w:rsid w:val="00325926"/>
    <w:rsid w:val="00327A8A"/>
    <w:rsid w:val="00336610"/>
    <w:rsid w:val="00336D86"/>
    <w:rsid w:val="00343F73"/>
    <w:rsid w:val="00345060"/>
    <w:rsid w:val="0035323B"/>
    <w:rsid w:val="003609D2"/>
    <w:rsid w:val="00363F22"/>
    <w:rsid w:val="00375564"/>
    <w:rsid w:val="00383191"/>
    <w:rsid w:val="00385191"/>
    <w:rsid w:val="00386DED"/>
    <w:rsid w:val="003912E7"/>
    <w:rsid w:val="00393947"/>
    <w:rsid w:val="003A2275"/>
    <w:rsid w:val="003A6A4F"/>
    <w:rsid w:val="003A7088"/>
    <w:rsid w:val="003A7253"/>
    <w:rsid w:val="003B00DF"/>
    <w:rsid w:val="003B1275"/>
    <w:rsid w:val="003B1778"/>
    <w:rsid w:val="003C11CB"/>
    <w:rsid w:val="003C75F3"/>
    <w:rsid w:val="003C78A3"/>
    <w:rsid w:val="003E1867"/>
    <w:rsid w:val="003E5729"/>
    <w:rsid w:val="003F4EE0"/>
    <w:rsid w:val="003F71E6"/>
    <w:rsid w:val="00402153"/>
    <w:rsid w:val="00402FC1"/>
    <w:rsid w:val="00415C04"/>
    <w:rsid w:val="00425082"/>
    <w:rsid w:val="00431DEB"/>
    <w:rsid w:val="0044396A"/>
    <w:rsid w:val="00446B29"/>
    <w:rsid w:val="004479A9"/>
    <w:rsid w:val="00453F9A"/>
    <w:rsid w:val="00471E91"/>
    <w:rsid w:val="00474675"/>
    <w:rsid w:val="0047470C"/>
    <w:rsid w:val="004A35F9"/>
    <w:rsid w:val="004A7604"/>
    <w:rsid w:val="004B24C1"/>
    <w:rsid w:val="004C292F"/>
    <w:rsid w:val="004C7EE3"/>
    <w:rsid w:val="004D13FC"/>
    <w:rsid w:val="004E172C"/>
    <w:rsid w:val="004E4FA9"/>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5E4C25"/>
    <w:rsid w:val="0061716C"/>
    <w:rsid w:val="006243A1"/>
    <w:rsid w:val="00632E56"/>
    <w:rsid w:val="00635CBA"/>
    <w:rsid w:val="0064338B"/>
    <w:rsid w:val="00646542"/>
    <w:rsid w:val="006504F4"/>
    <w:rsid w:val="00654BC9"/>
    <w:rsid w:val="006552FD"/>
    <w:rsid w:val="00663AF3"/>
    <w:rsid w:val="00666B6C"/>
    <w:rsid w:val="00670873"/>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66CA6"/>
    <w:rsid w:val="0076798B"/>
    <w:rsid w:val="00786FC1"/>
    <w:rsid w:val="007913AB"/>
    <w:rsid w:val="007914F7"/>
    <w:rsid w:val="00791F98"/>
    <w:rsid w:val="0079626F"/>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3681"/>
    <w:rsid w:val="00835DB3"/>
    <w:rsid w:val="0083617B"/>
    <w:rsid w:val="008371BD"/>
    <w:rsid w:val="00843A3B"/>
    <w:rsid w:val="008504A8"/>
    <w:rsid w:val="008520F0"/>
    <w:rsid w:val="0085282E"/>
    <w:rsid w:val="0085288C"/>
    <w:rsid w:val="00867D5C"/>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24FE"/>
    <w:rsid w:val="00925608"/>
    <w:rsid w:val="009279DE"/>
    <w:rsid w:val="00930116"/>
    <w:rsid w:val="00935884"/>
    <w:rsid w:val="00937805"/>
    <w:rsid w:val="0094212C"/>
    <w:rsid w:val="00954689"/>
    <w:rsid w:val="009617C9"/>
    <w:rsid w:val="00961942"/>
    <w:rsid w:val="00961B15"/>
    <w:rsid w:val="00961C93"/>
    <w:rsid w:val="009634B3"/>
    <w:rsid w:val="00965324"/>
    <w:rsid w:val="0097091E"/>
    <w:rsid w:val="009760D3"/>
    <w:rsid w:val="00977132"/>
    <w:rsid w:val="00981A4B"/>
    <w:rsid w:val="00982501"/>
    <w:rsid w:val="009852E6"/>
    <w:rsid w:val="009877D3"/>
    <w:rsid w:val="00987DD8"/>
    <w:rsid w:val="00994E8F"/>
    <w:rsid w:val="009951DC"/>
    <w:rsid w:val="009959BB"/>
    <w:rsid w:val="00997158"/>
    <w:rsid w:val="00997D30"/>
    <w:rsid w:val="009A3A7C"/>
    <w:rsid w:val="009B2ADB"/>
    <w:rsid w:val="009B603A"/>
    <w:rsid w:val="009C23F2"/>
    <w:rsid w:val="009C2D0E"/>
    <w:rsid w:val="009C3DAC"/>
    <w:rsid w:val="009C42E0"/>
    <w:rsid w:val="009D5362"/>
    <w:rsid w:val="009E1415"/>
    <w:rsid w:val="009E6116"/>
    <w:rsid w:val="00A02E43"/>
    <w:rsid w:val="00A0360F"/>
    <w:rsid w:val="00A065F9"/>
    <w:rsid w:val="00A07F34"/>
    <w:rsid w:val="00A220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4658"/>
    <w:rsid w:val="00AE6D15"/>
    <w:rsid w:val="00B04182"/>
    <w:rsid w:val="00B07AE3"/>
    <w:rsid w:val="00B11430"/>
    <w:rsid w:val="00B24B53"/>
    <w:rsid w:val="00B353EB"/>
    <w:rsid w:val="00B439C4"/>
    <w:rsid w:val="00B44A82"/>
    <w:rsid w:val="00B4535E"/>
    <w:rsid w:val="00B52A8C"/>
    <w:rsid w:val="00B636A8"/>
    <w:rsid w:val="00B665C6"/>
    <w:rsid w:val="00B805AF"/>
    <w:rsid w:val="00B828C0"/>
    <w:rsid w:val="00B869EC"/>
    <w:rsid w:val="00B9397A"/>
    <w:rsid w:val="00B9633D"/>
    <w:rsid w:val="00B966FE"/>
    <w:rsid w:val="00BA2EBE"/>
    <w:rsid w:val="00BB0F28"/>
    <w:rsid w:val="00BB458A"/>
    <w:rsid w:val="00BD00D3"/>
    <w:rsid w:val="00BD1659"/>
    <w:rsid w:val="00BD3AA9"/>
    <w:rsid w:val="00BD4A18"/>
    <w:rsid w:val="00BD6DB2"/>
    <w:rsid w:val="00BD79C1"/>
    <w:rsid w:val="00BE11CF"/>
    <w:rsid w:val="00BE21AB"/>
    <w:rsid w:val="00BE55CB"/>
    <w:rsid w:val="00BF617A"/>
    <w:rsid w:val="00C0379D"/>
    <w:rsid w:val="00C03931"/>
    <w:rsid w:val="00C051E1"/>
    <w:rsid w:val="00C05FE3"/>
    <w:rsid w:val="00C2136D"/>
    <w:rsid w:val="00C214EE"/>
    <w:rsid w:val="00C2314B"/>
    <w:rsid w:val="00C24971"/>
    <w:rsid w:val="00C26BE5"/>
    <w:rsid w:val="00C26E4D"/>
    <w:rsid w:val="00C27909"/>
    <w:rsid w:val="00C27B03"/>
    <w:rsid w:val="00C314E1"/>
    <w:rsid w:val="00C34397"/>
    <w:rsid w:val="00C4095D"/>
    <w:rsid w:val="00C601D2"/>
    <w:rsid w:val="00C64B72"/>
    <w:rsid w:val="00C65BCC"/>
    <w:rsid w:val="00C66970"/>
    <w:rsid w:val="00C8691C"/>
    <w:rsid w:val="00C9288C"/>
    <w:rsid w:val="00CA168A"/>
    <w:rsid w:val="00CA357E"/>
    <w:rsid w:val="00CA44F9"/>
    <w:rsid w:val="00CA4A69"/>
    <w:rsid w:val="00CC3E0C"/>
    <w:rsid w:val="00CC58D3"/>
    <w:rsid w:val="00CC784D"/>
    <w:rsid w:val="00CE2131"/>
    <w:rsid w:val="00CF30A9"/>
    <w:rsid w:val="00D0337B"/>
    <w:rsid w:val="00D079B2"/>
    <w:rsid w:val="00D114E9"/>
    <w:rsid w:val="00D429C6"/>
    <w:rsid w:val="00D4648A"/>
    <w:rsid w:val="00D47748"/>
    <w:rsid w:val="00D54CC3"/>
    <w:rsid w:val="00D6041A"/>
    <w:rsid w:val="00D633EB"/>
    <w:rsid w:val="00D70859"/>
    <w:rsid w:val="00D82FF7"/>
    <w:rsid w:val="00D847FE"/>
    <w:rsid w:val="00D95D0C"/>
    <w:rsid w:val="00D964EA"/>
    <w:rsid w:val="00D966D0"/>
    <w:rsid w:val="00DA0C59"/>
    <w:rsid w:val="00DA3991"/>
    <w:rsid w:val="00DB3947"/>
    <w:rsid w:val="00DB7E6C"/>
    <w:rsid w:val="00DC32D4"/>
    <w:rsid w:val="00DD5A29"/>
    <w:rsid w:val="00DD5D9D"/>
    <w:rsid w:val="00DE35CB"/>
    <w:rsid w:val="00DF21E9"/>
    <w:rsid w:val="00DF542B"/>
    <w:rsid w:val="00E00F14"/>
    <w:rsid w:val="00E06386"/>
    <w:rsid w:val="00E14A55"/>
    <w:rsid w:val="00E24EB4"/>
    <w:rsid w:val="00E320ED"/>
    <w:rsid w:val="00E33AFB"/>
    <w:rsid w:val="00E34218"/>
    <w:rsid w:val="00E36039"/>
    <w:rsid w:val="00E46282"/>
    <w:rsid w:val="00E5216E"/>
    <w:rsid w:val="00E570AE"/>
    <w:rsid w:val="00E64C59"/>
    <w:rsid w:val="00E82344"/>
    <w:rsid w:val="00E82855"/>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0E4B"/>
    <w:rsid w:val="00EF244F"/>
    <w:rsid w:val="00F053FA"/>
    <w:rsid w:val="00F11BB5"/>
    <w:rsid w:val="00F1417B"/>
    <w:rsid w:val="00F34B99"/>
    <w:rsid w:val="00F47F9A"/>
    <w:rsid w:val="00F52DAB"/>
    <w:rsid w:val="00F543F0"/>
    <w:rsid w:val="00F81D29"/>
    <w:rsid w:val="00F91C4D"/>
    <w:rsid w:val="00F92FD9"/>
    <w:rsid w:val="00FA6684"/>
    <w:rsid w:val="00FA731E"/>
    <w:rsid w:val="00FB2B38"/>
    <w:rsid w:val="00FC518E"/>
    <w:rsid w:val="00FC57D0"/>
    <w:rsid w:val="00FC6358"/>
    <w:rsid w:val="00FD320D"/>
    <w:rsid w:val="00FE23DE"/>
    <w:rsid w:val="00FE7A4F"/>
    <w:rsid w:val="01207B0A"/>
    <w:rsid w:val="012C721B"/>
    <w:rsid w:val="01357FDD"/>
    <w:rsid w:val="013B22E5"/>
    <w:rsid w:val="016A6FD7"/>
    <w:rsid w:val="0170723F"/>
    <w:rsid w:val="018A6D4A"/>
    <w:rsid w:val="01B55C7C"/>
    <w:rsid w:val="01C32A07"/>
    <w:rsid w:val="02315E8E"/>
    <w:rsid w:val="023A109F"/>
    <w:rsid w:val="02641C78"/>
    <w:rsid w:val="028247F4"/>
    <w:rsid w:val="0286484C"/>
    <w:rsid w:val="029D40B0"/>
    <w:rsid w:val="02BF3353"/>
    <w:rsid w:val="02C13975"/>
    <w:rsid w:val="02ED2D0B"/>
    <w:rsid w:val="030D14B1"/>
    <w:rsid w:val="032515D2"/>
    <w:rsid w:val="032A4C70"/>
    <w:rsid w:val="032F04D8"/>
    <w:rsid w:val="03334301"/>
    <w:rsid w:val="03883A9C"/>
    <w:rsid w:val="039F6AB1"/>
    <w:rsid w:val="03D42E2E"/>
    <w:rsid w:val="03FC0B82"/>
    <w:rsid w:val="042206A8"/>
    <w:rsid w:val="044237F2"/>
    <w:rsid w:val="04615C3E"/>
    <w:rsid w:val="046E793F"/>
    <w:rsid w:val="047A5F8F"/>
    <w:rsid w:val="048605CC"/>
    <w:rsid w:val="04904FA7"/>
    <w:rsid w:val="04E43F3C"/>
    <w:rsid w:val="04E62E37"/>
    <w:rsid w:val="04EA0282"/>
    <w:rsid w:val="04F16966"/>
    <w:rsid w:val="050140F6"/>
    <w:rsid w:val="05516986"/>
    <w:rsid w:val="057448C8"/>
    <w:rsid w:val="058E6CAC"/>
    <w:rsid w:val="059E36F3"/>
    <w:rsid w:val="05E12225"/>
    <w:rsid w:val="06112AF1"/>
    <w:rsid w:val="062B7B17"/>
    <w:rsid w:val="063E2D45"/>
    <w:rsid w:val="063F4ED6"/>
    <w:rsid w:val="0642490C"/>
    <w:rsid w:val="06472424"/>
    <w:rsid w:val="06473986"/>
    <w:rsid w:val="06502F7D"/>
    <w:rsid w:val="066A0E21"/>
    <w:rsid w:val="06865A57"/>
    <w:rsid w:val="069F373E"/>
    <w:rsid w:val="06D575E9"/>
    <w:rsid w:val="06D60E04"/>
    <w:rsid w:val="07150628"/>
    <w:rsid w:val="07434552"/>
    <w:rsid w:val="07926BB3"/>
    <w:rsid w:val="07A34FF1"/>
    <w:rsid w:val="07D51C58"/>
    <w:rsid w:val="07DB3EFC"/>
    <w:rsid w:val="07F949BB"/>
    <w:rsid w:val="07FC677C"/>
    <w:rsid w:val="080A5070"/>
    <w:rsid w:val="080E4C40"/>
    <w:rsid w:val="08183C31"/>
    <w:rsid w:val="081952B3"/>
    <w:rsid w:val="081D2FF5"/>
    <w:rsid w:val="0824065B"/>
    <w:rsid w:val="082E3649"/>
    <w:rsid w:val="083245C7"/>
    <w:rsid w:val="085A1A45"/>
    <w:rsid w:val="085D5910"/>
    <w:rsid w:val="088B3671"/>
    <w:rsid w:val="088F37B7"/>
    <w:rsid w:val="08BB45BC"/>
    <w:rsid w:val="08D613F6"/>
    <w:rsid w:val="09061CDB"/>
    <w:rsid w:val="090855DE"/>
    <w:rsid w:val="090D1308"/>
    <w:rsid w:val="09390D6A"/>
    <w:rsid w:val="093F6F9B"/>
    <w:rsid w:val="09495367"/>
    <w:rsid w:val="09574E64"/>
    <w:rsid w:val="09623FE0"/>
    <w:rsid w:val="0970074A"/>
    <w:rsid w:val="09954C0A"/>
    <w:rsid w:val="099E242B"/>
    <w:rsid w:val="09B94F9F"/>
    <w:rsid w:val="09EE1750"/>
    <w:rsid w:val="09F430A4"/>
    <w:rsid w:val="0A0D238C"/>
    <w:rsid w:val="0A122902"/>
    <w:rsid w:val="0A1246B0"/>
    <w:rsid w:val="0A1F4B8D"/>
    <w:rsid w:val="0A2511E4"/>
    <w:rsid w:val="0A2A37A7"/>
    <w:rsid w:val="0A386204"/>
    <w:rsid w:val="0A426D43"/>
    <w:rsid w:val="0A5D60B3"/>
    <w:rsid w:val="0A812521"/>
    <w:rsid w:val="0A832FBC"/>
    <w:rsid w:val="0AAB03C6"/>
    <w:rsid w:val="0AAF2F53"/>
    <w:rsid w:val="0AC260D6"/>
    <w:rsid w:val="0AE6439A"/>
    <w:rsid w:val="0AF205AE"/>
    <w:rsid w:val="0AF3472D"/>
    <w:rsid w:val="0AF53DB5"/>
    <w:rsid w:val="0B024724"/>
    <w:rsid w:val="0B0C6F50"/>
    <w:rsid w:val="0B34411A"/>
    <w:rsid w:val="0B466F5E"/>
    <w:rsid w:val="0B61769D"/>
    <w:rsid w:val="0B6B22C9"/>
    <w:rsid w:val="0B7D1FFD"/>
    <w:rsid w:val="0BD51E39"/>
    <w:rsid w:val="0BDB7BB5"/>
    <w:rsid w:val="0C390EB7"/>
    <w:rsid w:val="0C4032E1"/>
    <w:rsid w:val="0C413330"/>
    <w:rsid w:val="0C457949"/>
    <w:rsid w:val="0C547201"/>
    <w:rsid w:val="0C575F0A"/>
    <w:rsid w:val="0C5952ED"/>
    <w:rsid w:val="0C5A4978"/>
    <w:rsid w:val="0C721D55"/>
    <w:rsid w:val="0C7261F3"/>
    <w:rsid w:val="0C87469E"/>
    <w:rsid w:val="0CA111F1"/>
    <w:rsid w:val="0CA57A5D"/>
    <w:rsid w:val="0CAF3ECF"/>
    <w:rsid w:val="0CDD2F3B"/>
    <w:rsid w:val="0CF4009D"/>
    <w:rsid w:val="0D2210AE"/>
    <w:rsid w:val="0D2C1FE4"/>
    <w:rsid w:val="0D3071EF"/>
    <w:rsid w:val="0D602AEF"/>
    <w:rsid w:val="0D6760AF"/>
    <w:rsid w:val="0D90558B"/>
    <w:rsid w:val="0DB95CFD"/>
    <w:rsid w:val="0DBF06AB"/>
    <w:rsid w:val="0E1633F6"/>
    <w:rsid w:val="0E250739"/>
    <w:rsid w:val="0E572FD9"/>
    <w:rsid w:val="0EC71F0D"/>
    <w:rsid w:val="0EFF035F"/>
    <w:rsid w:val="0F050C85"/>
    <w:rsid w:val="0F056591"/>
    <w:rsid w:val="0F0740B7"/>
    <w:rsid w:val="0F0B7992"/>
    <w:rsid w:val="0F455F34"/>
    <w:rsid w:val="0F540F99"/>
    <w:rsid w:val="0F563291"/>
    <w:rsid w:val="0F5B2655"/>
    <w:rsid w:val="0F751969"/>
    <w:rsid w:val="0F8010AE"/>
    <w:rsid w:val="0F845CFF"/>
    <w:rsid w:val="0FBD50BE"/>
    <w:rsid w:val="0FC14B12"/>
    <w:rsid w:val="0FC46878"/>
    <w:rsid w:val="0FF7412C"/>
    <w:rsid w:val="0FFF56D6"/>
    <w:rsid w:val="100465F2"/>
    <w:rsid w:val="10315EA0"/>
    <w:rsid w:val="10394998"/>
    <w:rsid w:val="104610EE"/>
    <w:rsid w:val="106151AA"/>
    <w:rsid w:val="108654B0"/>
    <w:rsid w:val="10AD7E83"/>
    <w:rsid w:val="10D0497D"/>
    <w:rsid w:val="10D12322"/>
    <w:rsid w:val="11020FDA"/>
    <w:rsid w:val="11072A94"/>
    <w:rsid w:val="11151584"/>
    <w:rsid w:val="1140573B"/>
    <w:rsid w:val="11455C9C"/>
    <w:rsid w:val="11963E18"/>
    <w:rsid w:val="11B37538"/>
    <w:rsid w:val="11C10E95"/>
    <w:rsid w:val="11D72467"/>
    <w:rsid w:val="12282CC2"/>
    <w:rsid w:val="123868B2"/>
    <w:rsid w:val="124A6C23"/>
    <w:rsid w:val="1251268A"/>
    <w:rsid w:val="125745D8"/>
    <w:rsid w:val="126D1B3B"/>
    <w:rsid w:val="128B05FA"/>
    <w:rsid w:val="12977157"/>
    <w:rsid w:val="12B944B8"/>
    <w:rsid w:val="131E7C21"/>
    <w:rsid w:val="13370CE3"/>
    <w:rsid w:val="134A310C"/>
    <w:rsid w:val="13542DFD"/>
    <w:rsid w:val="13BF714F"/>
    <w:rsid w:val="13BF7656"/>
    <w:rsid w:val="13D053C0"/>
    <w:rsid w:val="13E36DF3"/>
    <w:rsid w:val="13EB044B"/>
    <w:rsid w:val="140212F1"/>
    <w:rsid w:val="142B78F6"/>
    <w:rsid w:val="143811B7"/>
    <w:rsid w:val="1468163C"/>
    <w:rsid w:val="148A54F6"/>
    <w:rsid w:val="14A5684C"/>
    <w:rsid w:val="14AD74AF"/>
    <w:rsid w:val="14C12F5A"/>
    <w:rsid w:val="14CB3DD9"/>
    <w:rsid w:val="150C68CB"/>
    <w:rsid w:val="15665703"/>
    <w:rsid w:val="15B577A1"/>
    <w:rsid w:val="15C94279"/>
    <w:rsid w:val="15D24D4D"/>
    <w:rsid w:val="15D41DB9"/>
    <w:rsid w:val="15D62A35"/>
    <w:rsid w:val="15E64399"/>
    <w:rsid w:val="15F25BD1"/>
    <w:rsid w:val="15FB1991"/>
    <w:rsid w:val="16042C45"/>
    <w:rsid w:val="16663DB9"/>
    <w:rsid w:val="166F2094"/>
    <w:rsid w:val="167B314E"/>
    <w:rsid w:val="1680076C"/>
    <w:rsid w:val="16817E25"/>
    <w:rsid w:val="16E9797E"/>
    <w:rsid w:val="170B5651"/>
    <w:rsid w:val="17123F41"/>
    <w:rsid w:val="1728687D"/>
    <w:rsid w:val="17615F65"/>
    <w:rsid w:val="177E5132"/>
    <w:rsid w:val="17884203"/>
    <w:rsid w:val="178C2009"/>
    <w:rsid w:val="17AB74B7"/>
    <w:rsid w:val="17B44FF8"/>
    <w:rsid w:val="17D336D0"/>
    <w:rsid w:val="17D42FA4"/>
    <w:rsid w:val="17D45A23"/>
    <w:rsid w:val="17FF2717"/>
    <w:rsid w:val="18622CA6"/>
    <w:rsid w:val="187E3FBE"/>
    <w:rsid w:val="189F691A"/>
    <w:rsid w:val="18A11ACE"/>
    <w:rsid w:val="18C9062F"/>
    <w:rsid w:val="18CF1113"/>
    <w:rsid w:val="18DA45EA"/>
    <w:rsid w:val="190573EB"/>
    <w:rsid w:val="19211AE1"/>
    <w:rsid w:val="19537912"/>
    <w:rsid w:val="196759BB"/>
    <w:rsid w:val="196A3BC0"/>
    <w:rsid w:val="19A62D63"/>
    <w:rsid w:val="19A76BC3"/>
    <w:rsid w:val="19C31F4B"/>
    <w:rsid w:val="19C71D85"/>
    <w:rsid w:val="19C96C66"/>
    <w:rsid w:val="19CD05BF"/>
    <w:rsid w:val="19ED659F"/>
    <w:rsid w:val="1A023DF9"/>
    <w:rsid w:val="1A07383F"/>
    <w:rsid w:val="1A0F0492"/>
    <w:rsid w:val="1A213119"/>
    <w:rsid w:val="1A32795D"/>
    <w:rsid w:val="1A6D2489"/>
    <w:rsid w:val="1A706A3B"/>
    <w:rsid w:val="1A78055F"/>
    <w:rsid w:val="1A840CB2"/>
    <w:rsid w:val="1A8563CA"/>
    <w:rsid w:val="1A8D79B5"/>
    <w:rsid w:val="1AC30157"/>
    <w:rsid w:val="1AD357F4"/>
    <w:rsid w:val="1AE76561"/>
    <w:rsid w:val="1AED4AA9"/>
    <w:rsid w:val="1AED56D7"/>
    <w:rsid w:val="1B140A04"/>
    <w:rsid w:val="1B19589E"/>
    <w:rsid w:val="1B243407"/>
    <w:rsid w:val="1B2900A7"/>
    <w:rsid w:val="1B570174"/>
    <w:rsid w:val="1B593EEC"/>
    <w:rsid w:val="1B752CDB"/>
    <w:rsid w:val="1B925650"/>
    <w:rsid w:val="1BBD6EDA"/>
    <w:rsid w:val="1BC53330"/>
    <w:rsid w:val="1BE24694"/>
    <w:rsid w:val="1C0732EB"/>
    <w:rsid w:val="1C2F2E9F"/>
    <w:rsid w:val="1C3B5CE8"/>
    <w:rsid w:val="1C512E16"/>
    <w:rsid w:val="1C5B1EE6"/>
    <w:rsid w:val="1C64404C"/>
    <w:rsid w:val="1C7E1406"/>
    <w:rsid w:val="1C8256C5"/>
    <w:rsid w:val="1C8651B5"/>
    <w:rsid w:val="1C910563"/>
    <w:rsid w:val="1CA55B7C"/>
    <w:rsid w:val="1CB15E97"/>
    <w:rsid w:val="1CC859EF"/>
    <w:rsid w:val="1CDA4C49"/>
    <w:rsid w:val="1CEB7B58"/>
    <w:rsid w:val="1CF260C3"/>
    <w:rsid w:val="1D052518"/>
    <w:rsid w:val="1D1C6BD4"/>
    <w:rsid w:val="1D303577"/>
    <w:rsid w:val="1D4330A6"/>
    <w:rsid w:val="1D44711C"/>
    <w:rsid w:val="1D5232E9"/>
    <w:rsid w:val="1D6628F1"/>
    <w:rsid w:val="1D6B01AE"/>
    <w:rsid w:val="1D6D70AD"/>
    <w:rsid w:val="1D835251"/>
    <w:rsid w:val="1D95526F"/>
    <w:rsid w:val="1E127B68"/>
    <w:rsid w:val="1E446239"/>
    <w:rsid w:val="1E510590"/>
    <w:rsid w:val="1E545989"/>
    <w:rsid w:val="1E8A4F14"/>
    <w:rsid w:val="1EFB46DC"/>
    <w:rsid w:val="1EFF3EC6"/>
    <w:rsid w:val="1F0E05E7"/>
    <w:rsid w:val="1F197CBA"/>
    <w:rsid w:val="1F1D16D5"/>
    <w:rsid w:val="1F3A588D"/>
    <w:rsid w:val="1F506ABE"/>
    <w:rsid w:val="1F7B46F8"/>
    <w:rsid w:val="1F9B5FA8"/>
    <w:rsid w:val="1FB5190D"/>
    <w:rsid w:val="1FCC4107"/>
    <w:rsid w:val="1FD7037F"/>
    <w:rsid w:val="1FE83A91"/>
    <w:rsid w:val="1FEF3071"/>
    <w:rsid w:val="1FEF6885"/>
    <w:rsid w:val="1FF064F2"/>
    <w:rsid w:val="1FF64808"/>
    <w:rsid w:val="1FFB37C4"/>
    <w:rsid w:val="200A0886"/>
    <w:rsid w:val="20112FE8"/>
    <w:rsid w:val="20126C7F"/>
    <w:rsid w:val="20150279"/>
    <w:rsid w:val="20191826"/>
    <w:rsid w:val="203835A0"/>
    <w:rsid w:val="2042220F"/>
    <w:rsid w:val="207A4E0D"/>
    <w:rsid w:val="20C444FE"/>
    <w:rsid w:val="20F71FE9"/>
    <w:rsid w:val="211E55E9"/>
    <w:rsid w:val="21210A27"/>
    <w:rsid w:val="213477E8"/>
    <w:rsid w:val="21423675"/>
    <w:rsid w:val="216159D7"/>
    <w:rsid w:val="21772CCC"/>
    <w:rsid w:val="217A57CD"/>
    <w:rsid w:val="217B3C94"/>
    <w:rsid w:val="21AB2FC8"/>
    <w:rsid w:val="21B014CA"/>
    <w:rsid w:val="21D91FE1"/>
    <w:rsid w:val="21DD6F81"/>
    <w:rsid w:val="21DE64E4"/>
    <w:rsid w:val="21F6741E"/>
    <w:rsid w:val="222D60D3"/>
    <w:rsid w:val="22371C77"/>
    <w:rsid w:val="223D7682"/>
    <w:rsid w:val="22522D84"/>
    <w:rsid w:val="228C4BA7"/>
    <w:rsid w:val="22A60FDE"/>
    <w:rsid w:val="22B20386"/>
    <w:rsid w:val="22BD65FD"/>
    <w:rsid w:val="22C34341"/>
    <w:rsid w:val="22C52B40"/>
    <w:rsid w:val="22DA15E4"/>
    <w:rsid w:val="22DB3416"/>
    <w:rsid w:val="230A1F70"/>
    <w:rsid w:val="231177A3"/>
    <w:rsid w:val="23144B9D"/>
    <w:rsid w:val="232C0139"/>
    <w:rsid w:val="233C584A"/>
    <w:rsid w:val="2345239A"/>
    <w:rsid w:val="234F3CAF"/>
    <w:rsid w:val="235E58B1"/>
    <w:rsid w:val="23891174"/>
    <w:rsid w:val="238E14A5"/>
    <w:rsid w:val="23C04E17"/>
    <w:rsid w:val="23CD1CEB"/>
    <w:rsid w:val="23D85947"/>
    <w:rsid w:val="23FF53C2"/>
    <w:rsid w:val="2416738D"/>
    <w:rsid w:val="243F7D6A"/>
    <w:rsid w:val="24661428"/>
    <w:rsid w:val="246D0A09"/>
    <w:rsid w:val="248E0150"/>
    <w:rsid w:val="24A31269"/>
    <w:rsid w:val="24C25469"/>
    <w:rsid w:val="24D266D0"/>
    <w:rsid w:val="24DB3138"/>
    <w:rsid w:val="24FE0162"/>
    <w:rsid w:val="2504136D"/>
    <w:rsid w:val="250D457C"/>
    <w:rsid w:val="25107D49"/>
    <w:rsid w:val="25234E26"/>
    <w:rsid w:val="256E2403"/>
    <w:rsid w:val="258E0C37"/>
    <w:rsid w:val="25AB32F0"/>
    <w:rsid w:val="25C72D6E"/>
    <w:rsid w:val="25D477B7"/>
    <w:rsid w:val="25DA380D"/>
    <w:rsid w:val="25E5129D"/>
    <w:rsid w:val="25F26F30"/>
    <w:rsid w:val="261455E0"/>
    <w:rsid w:val="263E12CD"/>
    <w:rsid w:val="26402C59"/>
    <w:rsid w:val="2641274B"/>
    <w:rsid w:val="264D2B31"/>
    <w:rsid w:val="2652435A"/>
    <w:rsid w:val="267442D0"/>
    <w:rsid w:val="267F2A6D"/>
    <w:rsid w:val="269C0EEC"/>
    <w:rsid w:val="26B151F1"/>
    <w:rsid w:val="26C047BA"/>
    <w:rsid w:val="26EB3E67"/>
    <w:rsid w:val="26F30C12"/>
    <w:rsid w:val="26F64CE5"/>
    <w:rsid w:val="26F9557C"/>
    <w:rsid w:val="27005B64"/>
    <w:rsid w:val="270C69F0"/>
    <w:rsid w:val="270F6015"/>
    <w:rsid w:val="274C6FFB"/>
    <w:rsid w:val="276F2830"/>
    <w:rsid w:val="27856069"/>
    <w:rsid w:val="278C389C"/>
    <w:rsid w:val="279F712B"/>
    <w:rsid w:val="27BF5EE3"/>
    <w:rsid w:val="27DD40F7"/>
    <w:rsid w:val="27E92A9C"/>
    <w:rsid w:val="27F95984"/>
    <w:rsid w:val="27FF5E1C"/>
    <w:rsid w:val="280C4AF2"/>
    <w:rsid w:val="2818302A"/>
    <w:rsid w:val="284D0EEA"/>
    <w:rsid w:val="28854210"/>
    <w:rsid w:val="28BA1D43"/>
    <w:rsid w:val="28EF7C3E"/>
    <w:rsid w:val="2901250C"/>
    <w:rsid w:val="291B6F1D"/>
    <w:rsid w:val="29294FD6"/>
    <w:rsid w:val="29380F4C"/>
    <w:rsid w:val="29594382"/>
    <w:rsid w:val="29A241C7"/>
    <w:rsid w:val="29B24F35"/>
    <w:rsid w:val="29CF7236"/>
    <w:rsid w:val="29D137E8"/>
    <w:rsid w:val="29D46E34"/>
    <w:rsid w:val="29FA689B"/>
    <w:rsid w:val="2A212D0B"/>
    <w:rsid w:val="2A2C1042"/>
    <w:rsid w:val="2A2D662B"/>
    <w:rsid w:val="2AB1775D"/>
    <w:rsid w:val="2AD62753"/>
    <w:rsid w:val="2AFB6D6E"/>
    <w:rsid w:val="2AFD7973"/>
    <w:rsid w:val="2B023C14"/>
    <w:rsid w:val="2B1D70A7"/>
    <w:rsid w:val="2B2F6A18"/>
    <w:rsid w:val="2B4F18C7"/>
    <w:rsid w:val="2B5E17B0"/>
    <w:rsid w:val="2B8D6853"/>
    <w:rsid w:val="2B8F5708"/>
    <w:rsid w:val="2B9A5034"/>
    <w:rsid w:val="2BA74800"/>
    <w:rsid w:val="2BAA0794"/>
    <w:rsid w:val="2BC035D0"/>
    <w:rsid w:val="2BC453B2"/>
    <w:rsid w:val="2BC929C8"/>
    <w:rsid w:val="2BFE0D10"/>
    <w:rsid w:val="2C0E0D23"/>
    <w:rsid w:val="2C464019"/>
    <w:rsid w:val="2C7A7A51"/>
    <w:rsid w:val="2C855AF0"/>
    <w:rsid w:val="2C8E3C12"/>
    <w:rsid w:val="2C9E6E5F"/>
    <w:rsid w:val="2CB46FB6"/>
    <w:rsid w:val="2CD75DFE"/>
    <w:rsid w:val="2CDE5DA4"/>
    <w:rsid w:val="2CE1789D"/>
    <w:rsid w:val="2CE33F5E"/>
    <w:rsid w:val="2CF35668"/>
    <w:rsid w:val="2D391DD0"/>
    <w:rsid w:val="2D461E73"/>
    <w:rsid w:val="2D7921CC"/>
    <w:rsid w:val="2D7B739E"/>
    <w:rsid w:val="2D8E43BA"/>
    <w:rsid w:val="2D9F1B6C"/>
    <w:rsid w:val="2DCC4341"/>
    <w:rsid w:val="2DD83397"/>
    <w:rsid w:val="2DDB69E3"/>
    <w:rsid w:val="2DFE26D1"/>
    <w:rsid w:val="2E00644A"/>
    <w:rsid w:val="2E1B14D5"/>
    <w:rsid w:val="2E2D19AE"/>
    <w:rsid w:val="2E320FCA"/>
    <w:rsid w:val="2E500E8C"/>
    <w:rsid w:val="2E627104"/>
    <w:rsid w:val="2E6B7490"/>
    <w:rsid w:val="2EBB343D"/>
    <w:rsid w:val="2EE058BE"/>
    <w:rsid w:val="2EE202FD"/>
    <w:rsid w:val="2F007E4E"/>
    <w:rsid w:val="2F160761"/>
    <w:rsid w:val="2F1D6780"/>
    <w:rsid w:val="2F234AE5"/>
    <w:rsid w:val="2F6A57E5"/>
    <w:rsid w:val="2FA15A0A"/>
    <w:rsid w:val="2FAC0306"/>
    <w:rsid w:val="2FBE38FB"/>
    <w:rsid w:val="2FBE3D7D"/>
    <w:rsid w:val="2FD14541"/>
    <w:rsid w:val="300077F6"/>
    <w:rsid w:val="3005243D"/>
    <w:rsid w:val="30346B49"/>
    <w:rsid w:val="307B00A5"/>
    <w:rsid w:val="307B44AD"/>
    <w:rsid w:val="307D1FD3"/>
    <w:rsid w:val="309050BA"/>
    <w:rsid w:val="30935028"/>
    <w:rsid w:val="309F2322"/>
    <w:rsid w:val="30A55AD1"/>
    <w:rsid w:val="30C92B76"/>
    <w:rsid w:val="30F12076"/>
    <w:rsid w:val="31190BD5"/>
    <w:rsid w:val="3146700D"/>
    <w:rsid w:val="31534D88"/>
    <w:rsid w:val="316D3DF6"/>
    <w:rsid w:val="318B7E1F"/>
    <w:rsid w:val="318C028E"/>
    <w:rsid w:val="31AB2B70"/>
    <w:rsid w:val="31DA59BA"/>
    <w:rsid w:val="31FE6909"/>
    <w:rsid w:val="321D7DC4"/>
    <w:rsid w:val="32580942"/>
    <w:rsid w:val="327B2543"/>
    <w:rsid w:val="329655CE"/>
    <w:rsid w:val="32A731D7"/>
    <w:rsid w:val="32CB5278"/>
    <w:rsid w:val="32D06D32"/>
    <w:rsid w:val="32F04CDF"/>
    <w:rsid w:val="3304078A"/>
    <w:rsid w:val="331D5272"/>
    <w:rsid w:val="34160775"/>
    <w:rsid w:val="34227B8E"/>
    <w:rsid w:val="343E65FD"/>
    <w:rsid w:val="34465A06"/>
    <w:rsid w:val="3460056A"/>
    <w:rsid w:val="34663C68"/>
    <w:rsid w:val="347436ED"/>
    <w:rsid w:val="3479769E"/>
    <w:rsid w:val="34A71CF9"/>
    <w:rsid w:val="34B85CD0"/>
    <w:rsid w:val="34DF3BC1"/>
    <w:rsid w:val="34E268A9"/>
    <w:rsid w:val="350F4E25"/>
    <w:rsid w:val="35133210"/>
    <w:rsid w:val="35243365"/>
    <w:rsid w:val="35571045"/>
    <w:rsid w:val="35B12CD6"/>
    <w:rsid w:val="35D224F1"/>
    <w:rsid w:val="35D5357F"/>
    <w:rsid w:val="35F134B7"/>
    <w:rsid w:val="360C36F5"/>
    <w:rsid w:val="360C7F1A"/>
    <w:rsid w:val="361231BE"/>
    <w:rsid w:val="365F5C64"/>
    <w:rsid w:val="36737C9D"/>
    <w:rsid w:val="36747095"/>
    <w:rsid w:val="36881C95"/>
    <w:rsid w:val="368C3081"/>
    <w:rsid w:val="36913C00"/>
    <w:rsid w:val="36985DB9"/>
    <w:rsid w:val="369D517D"/>
    <w:rsid w:val="36B14785"/>
    <w:rsid w:val="36B91A9C"/>
    <w:rsid w:val="36CD6442"/>
    <w:rsid w:val="36E372CE"/>
    <w:rsid w:val="36EE4469"/>
    <w:rsid w:val="36F079A3"/>
    <w:rsid w:val="36FF120B"/>
    <w:rsid w:val="370233DD"/>
    <w:rsid w:val="37070849"/>
    <w:rsid w:val="370E607B"/>
    <w:rsid w:val="37354710"/>
    <w:rsid w:val="37357164"/>
    <w:rsid w:val="37781658"/>
    <w:rsid w:val="37871B02"/>
    <w:rsid w:val="37941B85"/>
    <w:rsid w:val="37976071"/>
    <w:rsid w:val="37A61B69"/>
    <w:rsid w:val="37C7767B"/>
    <w:rsid w:val="37DA41AF"/>
    <w:rsid w:val="37E56DDC"/>
    <w:rsid w:val="38156F95"/>
    <w:rsid w:val="383F16EE"/>
    <w:rsid w:val="384957D1"/>
    <w:rsid w:val="38887767"/>
    <w:rsid w:val="388D0542"/>
    <w:rsid w:val="38D1187F"/>
    <w:rsid w:val="38D974B6"/>
    <w:rsid w:val="38E946AA"/>
    <w:rsid w:val="38EF5A38"/>
    <w:rsid w:val="38F117B0"/>
    <w:rsid w:val="38FB262F"/>
    <w:rsid w:val="3902751A"/>
    <w:rsid w:val="39392758"/>
    <w:rsid w:val="394144E6"/>
    <w:rsid w:val="3962620A"/>
    <w:rsid w:val="39916AF0"/>
    <w:rsid w:val="39A40612"/>
    <w:rsid w:val="39A44A0F"/>
    <w:rsid w:val="39A907BB"/>
    <w:rsid w:val="39AE142D"/>
    <w:rsid w:val="39B82AB1"/>
    <w:rsid w:val="39E36AD5"/>
    <w:rsid w:val="3A0A0D7C"/>
    <w:rsid w:val="3A2058C4"/>
    <w:rsid w:val="3A2F07E2"/>
    <w:rsid w:val="3A30455A"/>
    <w:rsid w:val="3A565C6A"/>
    <w:rsid w:val="3A90046B"/>
    <w:rsid w:val="3A992100"/>
    <w:rsid w:val="3AA078C2"/>
    <w:rsid w:val="3AAB7442"/>
    <w:rsid w:val="3ACA4067"/>
    <w:rsid w:val="3ACC0BF2"/>
    <w:rsid w:val="3B275C7A"/>
    <w:rsid w:val="3B64626A"/>
    <w:rsid w:val="3B69457E"/>
    <w:rsid w:val="3B6A75F8"/>
    <w:rsid w:val="3B7C014A"/>
    <w:rsid w:val="3B9A42C1"/>
    <w:rsid w:val="3BA6230B"/>
    <w:rsid w:val="3BA84E1E"/>
    <w:rsid w:val="3BAB7A9C"/>
    <w:rsid w:val="3BB22730"/>
    <w:rsid w:val="3BC44F5A"/>
    <w:rsid w:val="3BFA097C"/>
    <w:rsid w:val="3BFD221A"/>
    <w:rsid w:val="3C1F4887"/>
    <w:rsid w:val="3C253FBF"/>
    <w:rsid w:val="3C6E4417"/>
    <w:rsid w:val="3C9C1A33"/>
    <w:rsid w:val="3CA408E8"/>
    <w:rsid w:val="3CB7686D"/>
    <w:rsid w:val="3CBE205D"/>
    <w:rsid w:val="3CD1792F"/>
    <w:rsid w:val="3CE10F83"/>
    <w:rsid w:val="3CE129AD"/>
    <w:rsid w:val="3D163594"/>
    <w:rsid w:val="3D6A1B31"/>
    <w:rsid w:val="3D9C7F8B"/>
    <w:rsid w:val="3DA2751D"/>
    <w:rsid w:val="3DDB1CC3"/>
    <w:rsid w:val="3DDD0555"/>
    <w:rsid w:val="3E026962"/>
    <w:rsid w:val="3E1B553A"/>
    <w:rsid w:val="3E4F6DBB"/>
    <w:rsid w:val="3E684956"/>
    <w:rsid w:val="3E6C2631"/>
    <w:rsid w:val="3E7D058E"/>
    <w:rsid w:val="3ED65E8A"/>
    <w:rsid w:val="3F1B1335"/>
    <w:rsid w:val="3F2A5EDF"/>
    <w:rsid w:val="3F392A90"/>
    <w:rsid w:val="3F3C12AC"/>
    <w:rsid w:val="3FCE63A8"/>
    <w:rsid w:val="400B3BB8"/>
    <w:rsid w:val="402E0BAE"/>
    <w:rsid w:val="40534501"/>
    <w:rsid w:val="405346BB"/>
    <w:rsid w:val="4092442D"/>
    <w:rsid w:val="40AF2FEF"/>
    <w:rsid w:val="40E67721"/>
    <w:rsid w:val="41061B71"/>
    <w:rsid w:val="415B676D"/>
    <w:rsid w:val="41661B50"/>
    <w:rsid w:val="41766CF7"/>
    <w:rsid w:val="419B050B"/>
    <w:rsid w:val="41C07F5B"/>
    <w:rsid w:val="41C27C4B"/>
    <w:rsid w:val="41CC5F06"/>
    <w:rsid w:val="42154762"/>
    <w:rsid w:val="42407488"/>
    <w:rsid w:val="424F13D9"/>
    <w:rsid w:val="425863FC"/>
    <w:rsid w:val="42E934F8"/>
    <w:rsid w:val="42FA3C11"/>
    <w:rsid w:val="42FF290F"/>
    <w:rsid w:val="430033F3"/>
    <w:rsid w:val="430420E0"/>
    <w:rsid w:val="431D6EF0"/>
    <w:rsid w:val="43244CFC"/>
    <w:rsid w:val="4330684A"/>
    <w:rsid w:val="433724B6"/>
    <w:rsid w:val="433E5F5E"/>
    <w:rsid w:val="43414AD2"/>
    <w:rsid w:val="435E62C4"/>
    <w:rsid w:val="4360446B"/>
    <w:rsid w:val="43614A2D"/>
    <w:rsid w:val="436C6ADA"/>
    <w:rsid w:val="43860D47"/>
    <w:rsid w:val="438F726E"/>
    <w:rsid w:val="43B236D1"/>
    <w:rsid w:val="43CD2178"/>
    <w:rsid w:val="43D16466"/>
    <w:rsid w:val="43FB7706"/>
    <w:rsid w:val="44042C7F"/>
    <w:rsid w:val="44171A76"/>
    <w:rsid w:val="44562E10"/>
    <w:rsid w:val="446949D0"/>
    <w:rsid w:val="4475316E"/>
    <w:rsid w:val="44E4666D"/>
    <w:rsid w:val="44E623E5"/>
    <w:rsid w:val="44F04B89"/>
    <w:rsid w:val="44FD328B"/>
    <w:rsid w:val="45097E82"/>
    <w:rsid w:val="45404707"/>
    <w:rsid w:val="45433AAF"/>
    <w:rsid w:val="454344F4"/>
    <w:rsid w:val="455530C7"/>
    <w:rsid w:val="458B74DA"/>
    <w:rsid w:val="458F0387"/>
    <w:rsid w:val="45941E41"/>
    <w:rsid w:val="45A90258"/>
    <w:rsid w:val="45BC4EF4"/>
    <w:rsid w:val="45D65817"/>
    <w:rsid w:val="46363FA1"/>
    <w:rsid w:val="463B050F"/>
    <w:rsid w:val="463B2D60"/>
    <w:rsid w:val="46517FBE"/>
    <w:rsid w:val="46565349"/>
    <w:rsid w:val="465E1531"/>
    <w:rsid w:val="467632F5"/>
    <w:rsid w:val="46796008"/>
    <w:rsid w:val="469F284C"/>
    <w:rsid w:val="470E0D25"/>
    <w:rsid w:val="472B6D39"/>
    <w:rsid w:val="47405F7B"/>
    <w:rsid w:val="474B35EF"/>
    <w:rsid w:val="476B77EB"/>
    <w:rsid w:val="47B40579"/>
    <w:rsid w:val="47BE20A0"/>
    <w:rsid w:val="47CF0F0F"/>
    <w:rsid w:val="47FC6B22"/>
    <w:rsid w:val="48132B23"/>
    <w:rsid w:val="485011E6"/>
    <w:rsid w:val="48BE0AA9"/>
    <w:rsid w:val="48C86ACF"/>
    <w:rsid w:val="48D30603"/>
    <w:rsid w:val="492D2391"/>
    <w:rsid w:val="49350F59"/>
    <w:rsid w:val="4968786D"/>
    <w:rsid w:val="4977179A"/>
    <w:rsid w:val="49957F36"/>
    <w:rsid w:val="49AF0FF8"/>
    <w:rsid w:val="49EB5DA8"/>
    <w:rsid w:val="4A0F5F3A"/>
    <w:rsid w:val="4A1A5872"/>
    <w:rsid w:val="4A1B293E"/>
    <w:rsid w:val="4A5676C5"/>
    <w:rsid w:val="4A5B2F2E"/>
    <w:rsid w:val="4A5E3955"/>
    <w:rsid w:val="4A7D2B97"/>
    <w:rsid w:val="4A8A55C1"/>
    <w:rsid w:val="4AAD7B6F"/>
    <w:rsid w:val="4ABD72D7"/>
    <w:rsid w:val="4ABE6703"/>
    <w:rsid w:val="4AC26B09"/>
    <w:rsid w:val="4B3043BA"/>
    <w:rsid w:val="4B412124"/>
    <w:rsid w:val="4B507A54"/>
    <w:rsid w:val="4B655779"/>
    <w:rsid w:val="4B8502D3"/>
    <w:rsid w:val="4B9009B5"/>
    <w:rsid w:val="4B9412FA"/>
    <w:rsid w:val="4B983E2F"/>
    <w:rsid w:val="4BA34617"/>
    <w:rsid w:val="4BA8295A"/>
    <w:rsid w:val="4BB02A99"/>
    <w:rsid w:val="4BD07D1F"/>
    <w:rsid w:val="4C251A45"/>
    <w:rsid w:val="4C37005E"/>
    <w:rsid w:val="4C3D6D8F"/>
    <w:rsid w:val="4C592F56"/>
    <w:rsid w:val="4C614B55"/>
    <w:rsid w:val="4C7E669A"/>
    <w:rsid w:val="4C7E73A7"/>
    <w:rsid w:val="4C867FF6"/>
    <w:rsid w:val="4CD93524"/>
    <w:rsid w:val="4CDE7678"/>
    <w:rsid w:val="4CF53645"/>
    <w:rsid w:val="4D0704C2"/>
    <w:rsid w:val="4D471547"/>
    <w:rsid w:val="4D4C4E36"/>
    <w:rsid w:val="4D76420B"/>
    <w:rsid w:val="4D9549A9"/>
    <w:rsid w:val="4DC64B62"/>
    <w:rsid w:val="4DEA5552"/>
    <w:rsid w:val="4E0258F4"/>
    <w:rsid w:val="4E2F6BAB"/>
    <w:rsid w:val="4E324292"/>
    <w:rsid w:val="4E713C33"/>
    <w:rsid w:val="4E767BDF"/>
    <w:rsid w:val="4EA162D3"/>
    <w:rsid w:val="4EB903B7"/>
    <w:rsid w:val="4ECC264C"/>
    <w:rsid w:val="4ED908C5"/>
    <w:rsid w:val="4EF45211"/>
    <w:rsid w:val="4EF63225"/>
    <w:rsid w:val="4F2F7136"/>
    <w:rsid w:val="4F375FBA"/>
    <w:rsid w:val="4F3D2C02"/>
    <w:rsid w:val="4F3F4BCC"/>
    <w:rsid w:val="4F416B96"/>
    <w:rsid w:val="4F6D0248"/>
    <w:rsid w:val="4FA369C4"/>
    <w:rsid w:val="4FB20DDA"/>
    <w:rsid w:val="4FC60E49"/>
    <w:rsid w:val="4FD41EF5"/>
    <w:rsid w:val="4FD80B7D"/>
    <w:rsid w:val="4FED4628"/>
    <w:rsid w:val="4FF018A3"/>
    <w:rsid w:val="4FF92962"/>
    <w:rsid w:val="500A3AFD"/>
    <w:rsid w:val="500B7ABF"/>
    <w:rsid w:val="501F67AB"/>
    <w:rsid w:val="50364ADB"/>
    <w:rsid w:val="503E578B"/>
    <w:rsid w:val="50486E88"/>
    <w:rsid w:val="506753FE"/>
    <w:rsid w:val="50935A59"/>
    <w:rsid w:val="50942CF5"/>
    <w:rsid w:val="50D17AA6"/>
    <w:rsid w:val="50D336CD"/>
    <w:rsid w:val="50D62FEC"/>
    <w:rsid w:val="50D80AAC"/>
    <w:rsid w:val="50E61077"/>
    <w:rsid w:val="50EC2B32"/>
    <w:rsid w:val="510559A1"/>
    <w:rsid w:val="510850A0"/>
    <w:rsid w:val="51167BAE"/>
    <w:rsid w:val="515619E4"/>
    <w:rsid w:val="51597131"/>
    <w:rsid w:val="518728C9"/>
    <w:rsid w:val="51917235"/>
    <w:rsid w:val="51981AB2"/>
    <w:rsid w:val="519A07DF"/>
    <w:rsid w:val="51A4666B"/>
    <w:rsid w:val="51C94C21"/>
    <w:rsid w:val="5207171D"/>
    <w:rsid w:val="52072E31"/>
    <w:rsid w:val="52074884"/>
    <w:rsid w:val="52195BA8"/>
    <w:rsid w:val="522824AD"/>
    <w:rsid w:val="525149B6"/>
    <w:rsid w:val="525F49C1"/>
    <w:rsid w:val="526E5393"/>
    <w:rsid w:val="5277467D"/>
    <w:rsid w:val="527B1CC8"/>
    <w:rsid w:val="528172AA"/>
    <w:rsid w:val="529C7C16"/>
    <w:rsid w:val="52A678EC"/>
    <w:rsid w:val="52CA29FF"/>
    <w:rsid w:val="52DE46FC"/>
    <w:rsid w:val="52E157AD"/>
    <w:rsid w:val="52FA0592"/>
    <w:rsid w:val="530E1EA0"/>
    <w:rsid w:val="532F53EB"/>
    <w:rsid w:val="534A7FE3"/>
    <w:rsid w:val="53654E1D"/>
    <w:rsid w:val="536A6732"/>
    <w:rsid w:val="536F5DEA"/>
    <w:rsid w:val="537F13AA"/>
    <w:rsid w:val="53954BFA"/>
    <w:rsid w:val="53A166F7"/>
    <w:rsid w:val="53D64DC8"/>
    <w:rsid w:val="53F0156C"/>
    <w:rsid w:val="53F561A1"/>
    <w:rsid w:val="5402441A"/>
    <w:rsid w:val="54232893"/>
    <w:rsid w:val="54295E4B"/>
    <w:rsid w:val="542B3B44"/>
    <w:rsid w:val="544D2950"/>
    <w:rsid w:val="54635827"/>
    <w:rsid w:val="548117E3"/>
    <w:rsid w:val="54926CF3"/>
    <w:rsid w:val="54CE0E25"/>
    <w:rsid w:val="54D219EB"/>
    <w:rsid w:val="54D50CF2"/>
    <w:rsid w:val="54E64073"/>
    <w:rsid w:val="5527126F"/>
    <w:rsid w:val="5531145B"/>
    <w:rsid w:val="55412874"/>
    <w:rsid w:val="557161B6"/>
    <w:rsid w:val="5591546E"/>
    <w:rsid w:val="559E311A"/>
    <w:rsid w:val="55BB0D24"/>
    <w:rsid w:val="55D37CB7"/>
    <w:rsid w:val="55DD2158"/>
    <w:rsid w:val="55E22E31"/>
    <w:rsid w:val="563F0F19"/>
    <w:rsid w:val="56426EBB"/>
    <w:rsid w:val="565076BF"/>
    <w:rsid w:val="56D940AC"/>
    <w:rsid w:val="56F373A5"/>
    <w:rsid w:val="56F66647"/>
    <w:rsid w:val="57236B81"/>
    <w:rsid w:val="572B2CF6"/>
    <w:rsid w:val="573211EC"/>
    <w:rsid w:val="575F22C1"/>
    <w:rsid w:val="57697263"/>
    <w:rsid w:val="57790714"/>
    <w:rsid w:val="58153E27"/>
    <w:rsid w:val="581F3214"/>
    <w:rsid w:val="582167E3"/>
    <w:rsid w:val="582B2890"/>
    <w:rsid w:val="585F02E8"/>
    <w:rsid w:val="58605CEB"/>
    <w:rsid w:val="58AE2456"/>
    <w:rsid w:val="58B101BD"/>
    <w:rsid w:val="58C2560D"/>
    <w:rsid w:val="58CB74D0"/>
    <w:rsid w:val="58D520FD"/>
    <w:rsid w:val="58D72319"/>
    <w:rsid w:val="58FE544F"/>
    <w:rsid w:val="59252AF8"/>
    <w:rsid w:val="592B4413"/>
    <w:rsid w:val="594C6483"/>
    <w:rsid w:val="5960230F"/>
    <w:rsid w:val="5974347E"/>
    <w:rsid w:val="59977F0A"/>
    <w:rsid w:val="599C2C1B"/>
    <w:rsid w:val="59A935D6"/>
    <w:rsid w:val="59B32940"/>
    <w:rsid w:val="59DB3743"/>
    <w:rsid w:val="59DD3060"/>
    <w:rsid w:val="5A084F19"/>
    <w:rsid w:val="5A144EA7"/>
    <w:rsid w:val="5A5363AA"/>
    <w:rsid w:val="5A60573D"/>
    <w:rsid w:val="5AAC6C57"/>
    <w:rsid w:val="5AB11EBA"/>
    <w:rsid w:val="5AE813BF"/>
    <w:rsid w:val="5AEC0610"/>
    <w:rsid w:val="5AF06A16"/>
    <w:rsid w:val="5AF745AD"/>
    <w:rsid w:val="5B0543F7"/>
    <w:rsid w:val="5B07618F"/>
    <w:rsid w:val="5B3E172D"/>
    <w:rsid w:val="5B460DF6"/>
    <w:rsid w:val="5B547C51"/>
    <w:rsid w:val="5B57329D"/>
    <w:rsid w:val="5B7875D0"/>
    <w:rsid w:val="5B95084F"/>
    <w:rsid w:val="5BC711CD"/>
    <w:rsid w:val="5BC916B8"/>
    <w:rsid w:val="5BD5551F"/>
    <w:rsid w:val="5BDC19F5"/>
    <w:rsid w:val="5BF210F2"/>
    <w:rsid w:val="5C1417AE"/>
    <w:rsid w:val="5C166E64"/>
    <w:rsid w:val="5C1A18C6"/>
    <w:rsid w:val="5C202AC3"/>
    <w:rsid w:val="5C4A6129"/>
    <w:rsid w:val="5C4F21C6"/>
    <w:rsid w:val="5CB102F4"/>
    <w:rsid w:val="5CC31A9C"/>
    <w:rsid w:val="5CD52341"/>
    <w:rsid w:val="5CEA253D"/>
    <w:rsid w:val="5CEB78DD"/>
    <w:rsid w:val="5CEC546A"/>
    <w:rsid w:val="5D0B5CA1"/>
    <w:rsid w:val="5D0B67E3"/>
    <w:rsid w:val="5D0D2595"/>
    <w:rsid w:val="5D10375B"/>
    <w:rsid w:val="5D1A0A26"/>
    <w:rsid w:val="5D7F5595"/>
    <w:rsid w:val="5D852344"/>
    <w:rsid w:val="5DF64FF0"/>
    <w:rsid w:val="5E0D40E7"/>
    <w:rsid w:val="5E4F4700"/>
    <w:rsid w:val="5E5557E9"/>
    <w:rsid w:val="5E57642F"/>
    <w:rsid w:val="5E5C267F"/>
    <w:rsid w:val="5E882C74"/>
    <w:rsid w:val="5EA4058F"/>
    <w:rsid w:val="5ED6097D"/>
    <w:rsid w:val="5EEB4428"/>
    <w:rsid w:val="5F1A2F60"/>
    <w:rsid w:val="5F253AA4"/>
    <w:rsid w:val="5F44063F"/>
    <w:rsid w:val="5F5244A8"/>
    <w:rsid w:val="5F5F4E16"/>
    <w:rsid w:val="5F611066"/>
    <w:rsid w:val="5F6E059E"/>
    <w:rsid w:val="5F795ED8"/>
    <w:rsid w:val="5F8605F5"/>
    <w:rsid w:val="5F8D3732"/>
    <w:rsid w:val="5FA10F8B"/>
    <w:rsid w:val="5FB4245C"/>
    <w:rsid w:val="5FBA6849"/>
    <w:rsid w:val="600A2FD4"/>
    <w:rsid w:val="600B70C2"/>
    <w:rsid w:val="60106BB3"/>
    <w:rsid w:val="601A7520"/>
    <w:rsid w:val="6020473B"/>
    <w:rsid w:val="6046525D"/>
    <w:rsid w:val="60560FD6"/>
    <w:rsid w:val="605A3E0C"/>
    <w:rsid w:val="6074044E"/>
    <w:rsid w:val="607641C6"/>
    <w:rsid w:val="60836580"/>
    <w:rsid w:val="60A96349"/>
    <w:rsid w:val="60B30F76"/>
    <w:rsid w:val="60BB259D"/>
    <w:rsid w:val="60D11D86"/>
    <w:rsid w:val="60D929F6"/>
    <w:rsid w:val="60DB00DE"/>
    <w:rsid w:val="60F75A74"/>
    <w:rsid w:val="60F808B6"/>
    <w:rsid w:val="61093C77"/>
    <w:rsid w:val="615D65A7"/>
    <w:rsid w:val="61785D1C"/>
    <w:rsid w:val="61B700B9"/>
    <w:rsid w:val="61E17D65"/>
    <w:rsid w:val="61E245D4"/>
    <w:rsid w:val="6220493E"/>
    <w:rsid w:val="623E436A"/>
    <w:rsid w:val="624D71A8"/>
    <w:rsid w:val="62571DD5"/>
    <w:rsid w:val="627C183B"/>
    <w:rsid w:val="62913539"/>
    <w:rsid w:val="62944560"/>
    <w:rsid w:val="62C751AC"/>
    <w:rsid w:val="62DD530F"/>
    <w:rsid w:val="62EE44E7"/>
    <w:rsid w:val="62F26841"/>
    <w:rsid w:val="632C327D"/>
    <w:rsid w:val="6359755E"/>
    <w:rsid w:val="63CE4319"/>
    <w:rsid w:val="63D07A65"/>
    <w:rsid w:val="6401024A"/>
    <w:rsid w:val="64460353"/>
    <w:rsid w:val="645940E5"/>
    <w:rsid w:val="645A13FF"/>
    <w:rsid w:val="646D3B32"/>
    <w:rsid w:val="6472739A"/>
    <w:rsid w:val="64B82FFF"/>
    <w:rsid w:val="64E21E2A"/>
    <w:rsid w:val="64E531E7"/>
    <w:rsid w:val="65161800"/>
    <w:rsid w:val="65165AD9"/>
    <w:rsid w:val="65167D25"/>
    <w:rsid w:val="654F4FE5"/>
    <w:rsid w:val="6558033E"/>
    <w:rsid w:val="65731FD5"/>
    <w:rsid w:val="65841133"/>
    <w:rsid w:val="659F41BF"/>
    <w:rsid w:val="65A6294C"/>
    <w:rsid w:val="65B45155"/>
    <w:rsid w:val="660E4EA0"/>
    <w:rsid w:val="66236B9E"/>
    <w:rsid w:val="666C0132"/>
    <w:rsid w:val="668931DD"/>
    <w:rsid w:val="66BC445B"/>
    <w:rsid w:val="66F36853"/>
    <w:rsid w:val="670C13E0"/>
    <w:rsid w:val="671771D2"/>
    <w:rsid w:val="673D77EB"/>
    <w:rsid w:val="6768276C"/>
    <w:rsid w:val="676A25AA"/>
    <w:rsid w:val="676D4140"/>
    <w:rsid w:val="67C972D1"/>
    <w:rsid w:val="67E45EB9"/>
    <w:rsid w:val="67EF3899"/>
    <w:rsid w:val="67FD51CC"/>
    <w:rsid w:val="68052C24"/>
    <w:rsid w:val="68071BA7"/>
    <w:rsid w:val="681A6E39"/>
    <w:rsid w:val="682F128C"/>
    <w:rsid w:val="683710B9"/>
    <w:rsid w:val="6844683D"/>
    <w:rsid w:val="684626D0"/>
    <w:rsid w:val="686B0388"/>
    <w:rsid w:val="68784853"/>
    <w:rsid w:val="68AD274F"/>
    <w:rsid w:val="68CA6123"/>
    <w:rsid w:val="68F20DCF"/>
    <w:rsid w:val="69194288"/>
    <w:rsid w:val="691B1DAE"/>
    <w:rsid w:val="69235B24"/>
    <w:rsid w:val="69272501"/>
    <w:rsid w:val="69482236"/>
    <w:rsid w:val="695928D6"/>
    <w:rsid w:val="696668F3"/>
    <w:rsid w:val="69671F44"/>
    <w:rsid w:val="69696A17"/>
    <w:rsid w:val="699D6C67"/>
    <w:rsid w:val="69BA5E77"/>
    <w:rsid w:val="6A134093"/>
    <w:rsid w:val="6A2922A9"/>
    <w:rsid w:val="6A2A69C0"/>
    <w:rsid w:val="6A312CE8"/>
    <w:rsid w:val="6A434136"/>
    <w:rsid w:val="6A4B50B0"/>
    <w:rsid w:val="6A4B66C3"/>
    <w:rsid w:val="6A7A0D56"/>
    <w:rsid w:val="6A813028"/>
    <w:rsid w:val="6A837C0B"/>
    <w:rsid w:val="6A8B2F63"/>
    <w:rsid w:val="6AAC39AD"/>
    <w:rsid w:val="6AB80C1D"/>
    <w:rsid w:val="6B120F8F"/>
    <w:rsid w:val="6B286A04"/>
    <w:rsid w:val="6B2A4FC2"/>
    <w:rsid w:val="6B301415"/>
    <w:rsid w:val="6B3031BA"/>
    <w:rsid w:val="6B614FFE"/>
    <w:rsid w:val="6B655563"/>
    <w:rsid w:val="6B686E01"/>
    <w:rsid w:val="6B702B40"/>
    <w:rsid w:val="6B7E63D0"/>
    <w:rsid w:val="6B9805DE"/>
    <w:rsid w:val="6B9A0E1C"/>
    <w:rsid w:val="6BC7590F"/>
    <w:rsid w:val="6BCD17AC"/>
    <w:rsid w:val="6BE17570"/>
    <w:rsid w:val="6BE23594"/>
    <w:rsid w:val="6BE9178F"/>
    <w:rsid w:val="6C1B3E73"/>
    <w:rsid w:val="6C375151"/>
    <w:rsid w:val="6C427652"/>
    <w:rsid w:val="6C4B4758"/>
    <w:rsid w:val="6C761EB5"/>
    <w:rsid w:val="6C9465AB"/>
    <w:rsid w:val="6CB165EA"/>
    <w:rsid w:val="6CD02EB0"/>
    <w:rsid w:val="6D1650C8"/>
    <w:rsid w:val="6D1C2054"/>
    <w:rsid w:val="6D2148C0"/>
    <w:rsid w:val="6D2A6A64"/>
    <w:rsid w:val="6D632D51"/>
    <w:rsid w:val="6D716B8E"/>
    <w:rsid w:val="6D9F30E5"/>
    <w:rsid w:val="6DA93E2C"/>
    <w:rsid w:val="6DBE1011"/>
    <w:rsid w:val="6E1119D2"/>
    <w:rsid w:val="6E301E58"/>
    <w:rsid w:val="6E361438"/>
    <w:rsid w:val="6E48661A"/>
    <w:rsid w:val="6E602011"/>
    <w:rsid w:val="6E9F01EE"/>
    <w:rsid w:val="6EA90CA7"/>
    <w:rsid w:val="6EAE14BA"/>
    <w:rsid w:val="6EBE3907"/>
    <w:rsid w:val="6ECD58F9"/>
    <w:rsid w:val="6EE20AC1"/>
    <w:rsid w:val="6EF1296B"/>
    <w:rsid w:val="6EF65EA3"/>
    <w:rsid w:val="6F1A6664"/>
    <w:rsid w:val="6F263B0D"/>
    <w:rsid w:val="6F315449"/>
    <w:rsid w:val="6F50306D"/>
    <w:rsid w:val="6F5613DE"/>
    <w:rsid w:val="6F927F6F"/>
    <w:rsid w:val="6FB40867"/>
    <w:rsid w:val="6FC76196"/>
    <w:rsid w:val="6FDD600F"/>
    <w:rsid w:val="70311EB7"/>
    <w:rsid w:val="704E526A"/>
    <w:rsid w:val="705838E8"/>
    <w:rsid w:val="70673CB1"/>
    <w:rsid w:val="707A7DCC"/>
    <w:rsid w:val="709F6C04"/>
    <w:rsid w:val="70B35196"/>
    <w:rsid w:val="711C6DF5"/>
    <w:rsid w:val="71401EF6"/>
    <w:rsid w:val="716D5171"/>
    <w:rsid w:val="71950224"/>
    <w:rsid w:val="71FE401B"/>
    <w:rsid w:val="720714EC"/>
    <w:rsid w:val="720729D6"/>
    <w:rsid w:val="72094816"/>
    <w:rsid w:val="720A0C12"/>
    <w:rsid w:val="720E08E4"/>
    <w:rsid w:val="723175C0"/>
    <w:rsid w:val="723E08BB"/>
    <w:rsid w:val="72447137"/>
    <w:rsid w:val="72516841"/>
    <w:rsid w:val="72525C26"/>
    <w:rsid w:val="72964650"/>
    <w:rsid w:val="72967C02"/>
    <w:rsid w:val="72DC0802"/>
    <w:rsid w:val="72ED60E9"/>
    <w:rsid w:val="73252797"/>
    <w:rsid w:val="733046A8"/>
    <w:rsid w:val="73495DA7"/>
    <w:rsid w:val="734D1E83"/>
    <w:rsid w:val="736C7392"/>
    <w:rsid w:val="73893DB8"/>
    <w:rsid w:val="73993FFB"/>
    <w:rsid w:val="739B2E16"/>
    <w:rsid w:val="73B1349D"/>
    <w:rsid w:val="73C92407"/>
    <w:rsid w:val="73D6524F"/>
    <w:rsid w:val="73F92CEC"/>
    <w:rsid w:val="74253AE1"/>
    <w:rsid w:val="7431692A"/>
    <w:rsid w:val="743957DE"/>
    <w:rsid w:val="74605923"/>
    <w:rsid w:val="74650381"/>
    <w:rsid w:val="74732A9E"/>
    <w:rsid w:val="74793B00"/>
    <w:rsid w:val="749D3FBF"/>
    <w:rsid w:val="74C7238F"/>
    <w:rsid w:val="74D62E7E"/>
    <w:rsid w:val="74DA2B1D"/>
    <w:rsid w:val="74F31E31"/>
    <w:rsid w:val="74FD680C"/>
    <w:rsid w:val="74FF4332"/>
    <w:rsid w:val="75271ADB"/>
    <w:rsid w:val="75374E99"/>
    <w:rsid w:val="755C1784"/>
    <w:rsid w:val="755F2879"/>
    <w:rsid w:val="75720FA8"/>
    <w:rsid w:val="757D560A"/>
    <w:rsid w:val="75830402"/>
    <w:rsid w:val="75876BB5"/>
    <w:rsid w:val="7589009F"/>
    <w:rsid w:val="759500C9"/>
    <w:rsid w:val="75AF5D58"/>
    <w:rsid w:val="75B63013"/>
    <w:rsid w:val="760C0018"/>
    <w:rsid w:val="76165CB9"/>
    <w:rsid w:val="765813B0"/>
    <w:rsid w:val="76634D94"/>
    <w:rsid w:val="76643E67"/>
    <w:rsid w:val="76AD7DBE"/>
    <w:rsid w:val="76B02BAB"/>
    <w:rsid w:val="76B46613"/>
    <w:rsid w:val="76C06A88"/>
    <w:rsid w:val="76C704DD"/>
    <w:rsid w:val="76FB0519"/>
    <w:rsid w:val="770F6258"/>
    <w:rsid w:val="771D4F43"/>
    <w:rsid w:val="772916DE"/>
    <w:rsid w:val="772C33D8"/>
    <w:rsid w:val="773E5B96"/>
    <w:rsid w:val="775F62B5"/>
    <w:rsid w:val="777A53EC"/>
    <w:rsid w:val="779A3139"/>
    <w:rsid w:val="77A25449"/>
    <w:rsid w:val="77A80CB1"/>
    <w:rsid w:val="77C13038"/>
    <w:rsid w:val="78200FA9"/>
    <w:rsid w:val="782567A5"/>
    <w:rsid w:val="7833733B"/>
    <w:rsid w:val="78356725"/>
    <w:rsid w:val="783972DA"/>
    <w:rsid w:val="788B386D"/>
    <w:rsid w:val="78AA2807"/>
    <w:rsid w:val="78DB3C1A"/>
    <w:rsid w:val="78FF4092"/>
    <w:rsid w:val="790D5E89"/>
    <w:rsid w:val="79112886"/>
    <w:rsid w:val="7916528D"/>
    <w:rsid w:val="791B1956"/>
    <w:rsid w:val="79221660"/>
    <w:rsid w:val="7943480C"/>
    <w:rsid w:val="795D3D1D"/>
    <w:rsid w:val="796330C3"/>
    <w:rsid w:val="796B01E8"/>
    <w:rsid w:val="797D43BF"/>
    <w:rsid w:val="79872B48"/>
    <w:rsid w:val="79875674"/>
    <w:rsid w:val="79980DB0"/>
    <w:rsid w:val="79AA0161"/>
    <w:rsid w:val="79C92D25"/>
    <w:rsid w:val="79F70984"/>
    <w:rsid w:val="79FC52E4"/>
    <w:rsid w:val="7A410F49"/>
    <w:rsid w:val="7A41712D"/>
    <w:rsid w:val="7A6A7163"/>
    <w:rsid w:val="7A833E42"/>
    <w:rsid w:val="7A9119B9"/>
    <w:rsid w:val="7A9814B1"/>
    <w:rsid w:val="7AE21895"/>
    <w:rsid w:val="7AEE7323"/>
    <w:rsid w:val="7AFB3D91"/>
    <w:rsid w:val="7B0F7839"/>
    <w:rsid w:val="7B3C3EAF"/>
    <w:rsid w:val="7B44296A"/>
    <w:rsid w:val="7B6252A1"/>
    <w:rsid w:val="7B877FE0"/>
    <w:rsid w:val="7BB265A2"/>
    <w:rsid w:val="7BB62C28"/>
    <w:rsid w:val="7BCE2CB0"/>
    <w:rsid w:val="7BD07482"/>
    <w:rsid w:val="7BE51754"/>
    <w:rsid w:val="7BE73D72"/>
    <w:rsid w:val="7BEE5100"/>
    <w:rsid w:val="7BF344C5"/>
    <w:rsid w:val="7C133B4A"/>
    <w:rsid w:val="7C2D7F6D"/>
    <w:rsid w:val="7C792BDC"/>
    <w:rsid w:val="7C8810B1"/>
    <w:rsid w:val="7C934A1B"/>
    <w:rsid w:val="7C9540DD"/>
    <w:rsid w:val="7C9A0DE4"/>
    <w:rsid w:val="7CA74541"/>
    <w:rsid w:val="7CB65C1E"/>
    <w:rsid w:val="7CB71996"/>
    <w:rsid w:val="7CE1381B"/>
    <w:rsid w:val="7CF91FAF"/>
    <w:rsid w:val="7D0A41BC"/>
    <w:rsid w:val="7D1868D9"/>
    <w:rsid w:val="7D4E40A8"/>
    <w:rsid w:val="7D590631"/>
    <w:rsid w:val="7D5D77D2"/>
    <w:rsid w:val="7D661EBB"/>
    <w:rsid w:val="7D6E0471"/>
    <w:rsid w:val="7D7C14EE"/>
    <w:rsid w:val="7D89316F"/>
    <w:rsid w:val="7DA43CC8"/>
    <w:rsid w:val="7DA90C8D"/>
    <w:rsid w:val="7DC322D2"/>
    <w:rsid w:val="7DCE6F97"/>
    <w:rsid w:val="7E2B6198"/>
    <w:rsid w:val="7E3E411D"/>
    <w:rsid w:val="7E436FCF"/>
    <w:rsid w:val="7E694F12"/>
    <w:rsid w:val="7E6B1D6B"/>
    <w:rsid w:val="7E927FC5"/>
    <w:rsid w:val="7ECD1ACE"/>
    <w:rsid w:val="7EEA109B"/>
    <w:rsid w:val="7F2B4D45"/>
    <w:rsid w:val="7F7F1556"/>
    <w:rsid w:val="7F8A27B3"/>
    <w:rsid w:val="7FA0099E"/>
    <w:rsid w:val="7FE70C28"/>
    <w:rsid w:val="7FF10C14"/>
    <w:rsid w:val="7FF164C6"/>
    <w:rsid w:val="7FF5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1"/>
    <w:pPr>
      <w:ind w:left="1843"/>
      <w:outlineLvl w:val="1"/>
    </w:pPr>
    <w:rPr>
      <w:rFonts w:eastAsia="Times New Roman"/>
      <w:b/>
      <w:bCs/>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Cs w:val="21"/>
    </w:rPr>
  </w:style>
  <w:style w:type="paragraph" w:styleId="4">
    <w:name w:val="toc 7"/>
    <w:basedOn w:val="1"/>
    <w:next w:val="1"/>
    <w:semiHidden/>
    <w:qFormat/>
    <w:uiPriority w:val="0"/>
    <w:pPr>
      <w:tabs>
        <w:tab w:val="right" w:leader="dot" w:pos="9241"/>
      </w:tabs>
      <w:ind w:firstLine="500"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qFormat/>
    <w:uiPriority w:val="0"/>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44"/>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2"/>
      </w:tabs>
      <w:spacing w:beforeLines="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Strong"/>
    <w:basedOn w:val="35"/>
    <w:qFormat/>
    <w:uiPriority w:val="0"/>
    <w:rPr>
      <w:b/>
    </w:r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spacing w:val="0"/>
      <w:w w:val="100"/>
      <w:szCs w:val="21"/>
      <w:u w:val="single"/>
    </w:rPr>
  </w:style>
  <w:style w:type="character" w:styleId="42">
    <w:name w:val="annotation reference"/>
    <w:semiHidden/>
    <w:qFormat/>
    <w:uiPriority w:val="0"/>
    <w:rPr>
      <w:sz w:val="21"/>
      <w:szCs w:val="21"/>
    </w:rPr>
  </w:style>
  <w:style w:type="character" w:styleId="43">
    <w:name w:val="footnote reference"/>
    <w:semiHidden/>
    <w:qFormat/>
    <w:uiPriority w:val="0"/>
    <w:rPr>
      <w:vertAlign w:val="superscript"/>
    </w:rPr>
  </w:style>
  <w:style w:type="character" w:customStyle="1" w:styleId="44">
    <w:name w:val="批注框文本 Char"/>
    <w:link w:val="17"/>
    <w:qFormat/>
    <w:uiPriority w:val="0"/>
    <w:rPr>
      <w:kern w:val="2"/>
      <w:sz w:val="18"/>
      <w:szCs w:val="18"/>
    </w:rPr>
  </w:style>
  <w:style w:type="character" w:customStyle="1" w:styleId="45">
    <w:name w:val="段 Char"/>
    <w:link w:val="24"/>
    <w:qFormat/>
    <w:uiPriority w:val="0"/>
    <w:rPr>
      <w:rFonts w:ascii="宋体"/>
      <w:sz w:val="21"/>
      <w:lang w:val="en-US" w:eastAsia="zh-CN" w:bidi="ar-SA"/>
    </w:rPr>
  </w:style>
  <w:style w:type="character" w:customStyle="1" w:styleId="46">
    <w:name w:val="发布"/>
    <w:qFormat/>
    <w:uiPriority w:val="0"/>
    <w:rPr>
      <w:rFonts w:ascii="黑体" w:eastAsia="黑体"/>
      <w:spacing w:val="85"/>
      <w:w w:val="100"/>
      <w:position w:val="3"/>
      <w:sz w:val="28"/>
      <w:szCs w:val="28"/>
    </w:rPr>
  </w:style>
  <w:style w:type="character" w:customStyle="1" w:styleId="47">
    <w:name w:val="附录公式 Char"/>
    <w:link w:val="48"/>
    <w:qFormat/>
    <w:uiPriority w:val="0"/>
    <w:rPr>
      <w:lang w:val="en-US" w:eastAsia="zh-CN" w:bidi="ar-SA"/>
    </w:rPr>
  </w:style>
  <w:style w:type="paragraph" w:customStyle="1" w:styleId="48">
    <w:name w:val="附录公式"/>
    <w:basedOn w:val="24"/>
    <w:next w:val="24"/>
    <w:link w:val="47"/>
    <w:qFormat/>
    <w:uiPriority w:val="0"/>
  </w:style>
  <w:style w:type="character" w:customStyle="1" w:styleId="49">
    <w:name w:val="章标题 Char"/>
    <w:link w:val="50"/>
    <w:qFormat/>
    <w:locked/>
    <w:uiPriority w:val="0"/>
    <w:rPr>
      <w:rFonts w:ascii="黑体" w:eastAsia="黑体"/>
      <w:sz w:val="21"/>
      <w:lang w:val="en-US" w:eastAsia="zh-CN" w:bidi="ar-SA"/>
    </w:rPr>
  </w:style>
  <w:style w:type="paragraph" w:customStyle="1" w:styleId="50">
    <w:name w:val="章标题"/>
    <w:next w:val="24"/>
    <w:link w:val="49"/>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character" w:customStyle="1" w:styleId="51">
    <w:name w:val="首示例 Char"/>
    <w:link w:val="52"/>
    <w:qFormat/>
    <w:uiPriority w:val="0"/>
    <w:rPr>
      <w:rFonts w:ascii="宋体" w:hAnsi="宋体"/>
      <w:kern w:val="2"/>
      <w:sz w:val="18"/>
      <w:szCs w:val="18"/>
      <w:lang w:val="en-US" w:eastAsia="zh-CN" w:bidi="ar-SA"/>
    </w:rPr>
  </w:style>
  <w:style w:type="paragraph" w:customStyle="1" w:styleId="52">
    <w:name w:val="首示例"/>
    <w:next w:val="24"/>
    <w:link w:val="51"/>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图标脚注说明"/>
    <w:basedOn w:val="24"/>
    <w:qFormat/>
    <w:uiPriority w:val="0"/>
    <w:pPr>
      <w:ind w:left="840" w:hanging="420" w:firstLineChars="0"/>
    </w:pPr>
    <w:rPr>
      <w:sz w:val="18"/>
      <w:szCs w:val="18"/>
    </w:rPr>
  </w:style>
  <w:style w:type="paragraph" w:customStyle="1" w:styleId="56">
    <w:name w:val="封面一致性程度标识"/>
    <w:basedOn w:val="57"/>
    <w:qFormat/>
    <w:uiPriority w:val="0"/>
    <w:pPr>
      <w:framePr w:wrap="around"/>
      <w:spacing w:before="440"/>
    </w:pPr>
    <w:rPr>
      <w:rFonts w:ascii="宋体" w:eastAsia="宋体"/>
    </w:rPr>
  </w:style>
  <w:style w:type="paragraph" w:customStyle="1" w:styleId="57">
    <w:name w:val="封面标准英文名称"/>
    <w:basedOn w:val="58"/>
    <w:qFormat/>
    <w:uiPriority w:val="0"/>
    <w:pPr>
      <w:framePr w:wrap="around"/>
      <w:spacing w:before="370" w:line="400" w:lineRule="exact"/>
    </w:pPr>
    <w:rPr>
      <w:rFonts w:ascii="Times New Roman"/>
      <w:sz w:val="28"/>
      <w:szCs w:val="28"/>
    </w:rPr>
  </w:style>
  <w:style w:type="paragraph" w:customStyle="1" w:styleId="5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9">
    <w:name w:val="附录五级条标题"/>
    <w:basedOn w:val="60"/>
    <w:next w:val="24"/>
    <w:qFormat/>
    <w:uiPriority w:val="0"/>
    <w:pPr>
      <w:numPr>
        <w:ilvl w:val="6"/>
      </w:numPr>
      <w:tabs>
        <w:tab w:val="left" w:pos="360"/>
      </w:tabs>
      <w:outlineLvl w:val="6"/>
    </w:pPr>
  </w:style>
  <w:style w:type="paragraph" w:customStyle="1" w:styleId="60">
    <w:name w:val="附录四级条标题"/>
    <w:basedOn w:val="61"/>
    <w:next w:val="24"/>
    <w:qFormat/>
    <w:uiPriority w:val="0"/>
    <w:pPr>
      <w:numPr>
        <w:ilvl w:val="5"/>
      </w:numPr>
      <w:tabs>
        <w:tab w:val="left" w:pos="360"/>
      </w:tabs>
      <w:outlineLvl w:val="5"/>
    </w:pPr>
  </w:style>
  <w:style w:type="paragraph" w:customStyle="1" w:styleId="61">
    <w:name w:val="附录三级条标题"/>
    <w:basedOn w:val="62"/>
    <w:next w:val="24"/>
    <w:qFormat/>
    <w:uiPriority w:val="0"/>
    <w:pPr>
      <w:numPr>
        <w:ilvl w:val="4"/>
      </w:numPr>
      <w:tabs>
        <w:tab w:val="left" w:pos="360"/>
      </w:tabs>
      <w:outlineLvl w:val="4"/>
    </w:pPr>
  </w:style>
  <w:style w:type="paragraph" w:customStyle="1" w:styleId="62">
    <w:name w:val="附录二级条标题"/>
    <w:basedOn w:val="1"/>
    <w:next w:val="24"/>
    <w:qFormat/>
    <w:uiPriority w:val="0"/>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4">
    <w:name w:val="示例后文字"/>
    <w:basedOn w:val="24"/>
    <w:next w:val="24"/>
    <w:qFormat/>
    <w:uiPriority w:val="0"/>
    <w:pPr>
      <w:ind w:firstLine="360"/>
    </w:pPr>
    <w:rPr>
      <w:sz w:val="18"/>
    </w:rPr>
  </w:style>
  <w:style w:type="paragraph" w:customStyle="1" w:styleId="65">
    <w:name w:val="二级无"/>
    <w:basedOn w:val="66"/>
    <w:qFormat/>
    <w:uiPriority w:val="0"/>
    <w:pPr>
      <w:spacing w:beforeLines="0" w:afterLines="0"/>
      <w:ind w:left="0"/>
    </w:pPr>
    <w:rPr>
      <w:rFonts w:ascii="宋体" w:eastAsia="宋体"/>
    </w:rPr>
  </w:style>
  <w:style w:type="paragraph" w:customStyle="1" w:styleId="66">
    <w:name w:val="二级条标题"/>
    <w:basedOn w:val="67"/>
    <w:next w:val="24"/>
    <w:qFormat/>
    <w:uiPriority w:val="0"/>
    <w:pPr>
      <w:numPr>
        <w:ilvl w:val="2"/>
      </w:numPr>
      <w:spacing w:before="50" w:after="50"/>
      <w:outlineLvl w:val="3"/>
    </w:pPr>
  </w:style>
  <w:style w:type="paragraph" w:customStyle="1" w:styleId="67">
    <w:name w:val="一级条标题"/>
    <w:next w:val="24"/>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6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69">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附录一级无"/>
    <w:basedOn w:val="71"/>
    <w:qFormat/>
    <w:uiPriority w:val="0"/>
    <w:pPr>
      <w:tabs>
        <w:tab w:val="left" w:pos="360"/>
      </w:tabs>
      <w:spacing w:beforeLines="0" w:afterLines="0"/>
    </w:pPr>
    <w:rPr>
      <w:rFonts w:ascii="宋体" w:eastAsia="宋体"/>
      <w:szCs w:val="21"/>
    </w:rPr>
  </w:style>
  <w:style w:type="paragraph" w:customStyle="1" w:styleId="71">
    <w:name w:val="附录一级条标题"/>
    <w:basedOn w:val="72"/>
    <w:next w:val="24"/>
    <w:qFormat/>
    <w:uiPriority w:val="0"/>
    <w:pPr>
      <w:numPr>
        <w:ilvl w:val="2"/>
      </w:numPr>
      <w:tabs>
        <w:tab w:val="left" w:pos="360"/>
      </w:tabs>
      <w:autoSpaceDN w:val="0"/>
      <w:spacing w:beforeLines="50" w:afterLines="50"/>
      <w:outlineLvl w:val="2"/>
    </w:pPr>
  </w:style>
  <w:style w:type="paragraph" w:customStyle="1" w:styleId="72">
    <w:name w:val="附录章标题"/>
    <w:next w:val="24"/>
    <w:qFormat/>
    <w:uiPriority w:val="0"/>
    <w:pPr>
      <w:numPr>
        <w:ilvl w:val="1"/>
        <w:numId w:val="5"/>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3">
    <w:name w:val="附录四级无"/>
    <w:basedOn w:val="60"/>
    <w:qFormat/>
    <w:uiPriority w:val="0"/>
    <w:pPr>
      <w:tabs>
        <w:tab w:val="clear" w:pos="360"/>
      </w:tabs>
      <w:spacing w:beforeLines="0" w:afterLines="0"/>
    </w:pPr>
    <w:rPr>
      <w:rFonts w:ascii="宋体" w:eastAsia="宋体"/>
      <w:szCs w:val="21"/>
    </w:rPr>
  </w:style>
  <w:style w:type="paragraph" w:customStyle="1" w:styleId="74">
    <w:name w:val="附录标识"/>
    <w:basedOn w:val="1"/>
    <w:next w:val="24"/>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文稿类别"/>
    <w:basedOn w:val="56"/>
    <w:qFormat/>
    <w:uiPriority w:val="0"/>
    <w:pPr>
      <w:framePr w:wrap="around"/>
      <w:spacing w:after="160" w:line="240" w:lineRule="auto"/>
    </w:pPr>
    <w:rPr>
      <w:sz w:val="24"/>
    </w:rPr>
  </w:style>
  <w:style w:type="paragraph" w:customStyle="1" w:styleId="77">
    <w:name w:val="三级无"/>
    <w:basedOn w:val="78"/>
    <w:qFormat/>
    <w:uiPriority w:val="0"/>
    <w:pPr>
      <w:spacing w:beforeLines="0" w:afterLines="0"/>
    </w:pPr>
    <w:rPr>
      <w:rFonts w:ascii="宋体" w:eastAsia="宋体"/>
    </w:rPr>
  </w:style>
  <w:style w:type="paragraph" w:customStyle="1" w:styleId="78">
    <w:name w:val="三级条标题"/>
    <w:basedOn w:val="66"/>
    <w:next w:val="24"/>
    <w:qFormat/>
    <w:uiPriority w:val="0"/>
    <w:pPr>
      <w:numPr>
        <w:ilvl w:val="3"/>
      </w:numPr>
      <w:outlineLvl w:val="4"/>
    </w:pPr>
  </w:style>
  <w:style w:type="paragraph" w:customStyle="1" w:styleId="79">
    <w:name w:val="五级条标题"/>
    <w:basedOn w:val="80"/>
    <w:next w:val="24"/>
    <w:qFormat/>
    <w:uiPriority w:val="0"/>
    <w:pPr>
      <w:numPr>
        <w:ilvl w:val="5"/>
      </w:numPr>
      <w:outlineLvl w:val="6"/>
    </w:pPr>
  </w:style>
  <w:style w:type="paragraph" w:customStyle="1" w:styleId="80">
    <w:name w:val="四级条标题"/>
    <w:basedOn w:val="78"/>
    <w:next w:val="24"/>
    <w:qFormat/>
    <w:uiPriority w:val="0"/>
    <w:pPr>
      <w:numPr>
        <w:ilvl w:val="4"/>
      </w:numPr>
      <w:outlineLvl w:val="5"/>
    </w:pPr>
  </w:style>
  <w:style w:type="paragraph" w:customStyle="1" w:styleId="81">
    <w:name w:val="其他发布部门"/>
    <w:basedOn w:val="82"/>
    <w:qFormat/>
    <w:uiPriority w:val="0"/>
    <w:pPr>
      <w:framePr w:wrap="around" w:y="15310"/>
      <w:spacing w:line="0" w:lineRule="atLeast"/>
    </w:pPr>
    <w:rPr>
      <w:rFonts w:ascii="黑体" w:eastAsia="黑体"/>
      <w:b w:val="0"/>
    </w:rPr>
  </w:style>
  <w:style w:type="paragraph" w:customStyle="1" w:styleId="82">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4">
    <w:name w:val="附录五级无"/>
    <w:basedOn w:val="59"/>
    <w:qFormat/>
    <w:uiPriority w:val="0"/>
    <w:pPr>
      <w:tabs>
        <w:tab w:val="clear" w:pos="360"/>
      </w:tabs>
      <w:spacing w:beforeLines="0" w:afterLines="0"/>
    </w:pPr>
    <w:rPr>
      <w:rFonts w:ascii="宋体" w:eastAsia="宋体"/>
      <w:szCs w:val="21"/>
    </w:rPr>
  </w:style>
  <w:style w:type="paragraph" w:customStyle="1" w:styleId="85">
    <w:name w:val="标准书眉_偶数页"/>
    <w:basedOn w:val="63"/>
    <w:next w:val="1"/>
    <w:qFormat/>
    <w:uiPriority w:val="0"/>
    <w:pPr>
      <w:jc w:val="left"/>
    </w:pPr>
  </w:style>
  <w:style w:type="paragraph" w:customStyle="1" w:styleId="86">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87">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8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9">
    <w:name w:val="附录表标题"/>
    <w:basedOn w:val="1"/>
    <w:next w:val="24"/>
    <w:qFormat/>
    <w:uiPriority w:val="0"/>
    <w:pPr>
      <w:numPr>
        <w:ilvl w:val="1"/>
        <w:numId w:val="8"/>
      </w:numPr>
      <w:tabs>
        <w:tab w:val="left" w:pos="180"/>
      </w:tabs>
      <w:spacing w:beforeLines="50" w:afterLines="50"/>
      <w:ind w:left="0" w:firstLine="0"/>
      <w:jc w:val="center"/>
    </w:pPr>
    <w:rPr>
      <w:rFonts w:ascii="黑体" w:eastAsia="黑体"/>
      <w:szCs w:val="21"/>
    </w:rPr>
  </w:style>
  <w:style w:type="paragraph" w:customStyle="1" w:styleId="9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1">
    <w:name w:val="其他发布日期"/>
    <w:basedOn w:val="92"/>
    <w:qFormat/>
    <w:uiPriority w:val="0"/>
    <w:pPr>
      <w:framePr w:wrap="around" w:vAnchor="page" w:x="1419"/>
    </w:pPr>
  </w:style>
  <w:style w:type="paragraph" w:customStyle="1" w:styleId="9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3">
    <w:name w:val="编号列项（三级）"/>
    <w:qFormat/>
    <w:uiPriority w:val="0"/>
    <w:pPr>
      <w:numPr>
        <w:ilvl w:val="2"/>
        <w:numId w:val="9"/>
      </w:numPr>
    </w:pPr>
    <w:rPr>
      <w:rFonts w:ascii="宋体" w:hAnsi="Times New Roman" w:eastAsia="宋体" w:cs="Times New Roman"/>
      <w:sz w:val="21"/>
      <w:lang w:val="en-US" w:eastAsia="zh-CN" w:bidi="ar-SA"/>
    </w:rPr>
  </w:style>
  <w:style w:type="paragraph" w:customStyle="1" w:styleId="94">
    <w:name w:val="五级无"/>
    <w:basedOn w:val="79"/>
    <w:qFormat/>
    <w:uiPriority w:val="0"/>
    <w:pPr>
      <w:spacing w:beforeLines="0" w:afterLines="0"/>
    </w:pPr>
    <w:rPr>
      <w:rFonts w:ascii="宋体" w:eastAsia="宋体"/>
    </w:rPr>
  </w:style>
  <w:style w:type="paragraph" w:customStyle="1" w:styleId="95">
    <w:name w:val="注：（正文）"/>
    <w:basedOn w:val="86"/>
    <w:next w:val="24"/>
    <w:qFormat/>
    <w:uiPriority w:val="0"/>
  </w:style>
  <w:style w:type="paragraph" w:customStyle="1" w:styleId="96">
    <w:name w:val="实施日期"/>
    <w:basedOn w:val="92"/>
    <w:qFormat/>
    <w:uiPriority w:val="0"/>
    <w:pPr>
      <w:framePr w:wrap="around" w:vAnchor="page"/>
      <w:jc w:val="right"/>
    </w:pPr>
  </w:style>
  <w:style w:type="paragraph" w:customStyle="1" w:styleId="97">
    <w:name w:val="四级无"/>
    <w:basedOn w:val="80"/>
    <w:qFormat/>
    <w:uiPriority w:val="0"/>
    <w:pPr>
      <w:spacing w:beforeLines="0" w:afterLines="0"/>
    </w:pPr>
    <w:rPr>
      <w:rFonts w:ascii="宋体" w:eastAsia="宋体"/>
    </w:rPr>
  </w:style>
  <w:style w:type="paragraph" w:customStyle="1" w:styleId="98">
    <w:name w:val="条文脚注"/>
    <w:basedOn w:val="25"/>
    <w:qFormat/>
    <w:uiPriority w:val="0"/>
    <w:pPr>
      <w:numPr>
        <w:numId w:val="0"/>
      </w:numPr>
      <w:jc w:val="both"/>
    </w:pPr>
  </w:style>
  <w:style w:type="paragraph" w:customStyle="1" w:styleId="99">
    <w:name w:val="正文公式编号制表符"/>
    <w:basedOn w:val="24"/>
    <w:next w:val="24"/>
    <w:qFormat/>
    <w:uiPriority w:val="0"/>
    <w:pPr>
      <w:ind w:firstLine="0" w:firstLineChars="0"/>
    </w:pPr>
  </w:style>
  <w:style w:type="paragraph" w:customStyle="1" w:styleId="100">
    <w:name w:val="图表脚注说明"/>
    <w:basedOn w:val="1"/>
    <w:qFormat/>
    <w:uiPriority w:val="0"/>
    <w:pPr>
      <w:numPr>
        <w:ilvl w:val="0"/>
        <w:numId w:val="10"/>
      </w:numPr>
    </w:pPr>
    <w:rPr>
      <w:rFonts w:ascii="宋体"/>
      <w:sz w:val="18"/>
      <w:szCs w:val="18"/>
    </w:rPr>
  </w:style>
  <w:style w:type="paragraph" w:customStyle="1" w:styleId="101">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02">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4">
    <w:name w:val="附录表标号"/>
    <w:basedOn w:val="1"/>
    <w:next w:val="24"/>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105">
    <w:name w:val="封面标准文稿类别2"/>
    <w:basedOn w:val="76"/>
    <w:qFormat/>
    <w:uiPriority w:val="0"/>
    <w:pPr>
      <w:framePr w:wrap="around" w:y="4469"/>
    </w:pPr>
  </w:style>
  <w:style w:type="paragraph" w:customStyle="1" w:styleId="106">
    <w:name w:val="示例×："/>
    <w:basedOn w:val="50"/>
    <w:qFormat/>
    <w:uiPriority w:val="0"/>
    <w:pPr>
      <w:numPr>
        <w:numId w:val="12"/>
      </w:numPr>
      <w:spacing w:beforeLines="0" w:afterLines="0"/>
      <w:outlineLvl w:val="9"/>
    </w:pPr>
    <w:rPr>
      <w:rFonts w:ascii="宋体" w:eastAsia="宋体"/>
      <w:sz w:val="18"/>
      <w:szCs w:val="18"/>
    </w:rPr>
  </w:style>
  <w:style w:type="paragraph" w:customStyle="1" w:styleId="107">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8">
    <w:name w:val="数字编号列项（二级）"/>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09">
    <w:name w:val="附录图标题"/>
    <w:basedOn w:val="1"/>
    <w:next w:val="24"/>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10">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1">
    <w:name w:val="封面标准名称2"/>
    <w:basedOn w:val="58"/>
    <w:qFormat/>
    <w:uiPriority w:val="0"/>
    <w:pPr>
      <w:framePr w:wrap="around" w:y="4469"/>
      <w:spacing w:beforeLines="630"/>
    </w:pPr>
  </w:style>
  <w:style w:type="paragraph" w:customStyle="1" w:styleId="112">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13">
    <w:name w:val="标准书眉一"/>
    <w:qFormat/>
    <w:uiPriority w:val="0"/>
    <w:pPr>
      <w:jc w:val="both"/>
    </w:pPr>
    <w:rPr>
      <w:rFonts w:ascii="Times New Roman" w:hAnsi="Times New Roman" w:eastAsia="宋体" w:cs="Times New Roman"/>
      <w:lang w:val="en-US" w:eastAsia="zh-CN" w:bidi="ar-SA"/>
    </w:rPr>
  </w:style>
  <w:style w:type="paragraph" w:customStyle="1" w:styleId="11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5">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116">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注×："/>
    <w:qFormat/>
    <w:uiPriority w:val="0"/>
    <w:pPr>
      <w:widowControl w:val="0"/>
      <w:numPr>
        <w:ilvl w:val="0"/>
        <w:numId w:val="14"/>
      </w:numPr>
      <w:autoSpaceDE w:val="0"/>
      <w:autoSpaceDN w:val="0"/>
      <w:jc w:val="both"/>
    </w:pPr>
    <w:rPr>
      <w:rFonts w:ascii="宋体" w:hAnsi="Times New Roman" w:eastAsia="宋体" w:cs="Times New Roman"/>
      <w:sz w:val="18"/>
      <w:szCs w:val="18"/>
      <w:lang w:val="en-US" w:eastAsia="zh-CN" w:bidi="ar-SA"/>
    </w:rPr>
  </w:style>
  <w:style w:type="paragraph" w:customStyle="1" w:styleId="119">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20">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1">
    <w:name w:val="附录标题"/>
    <w:basedOn w:val="24"/>
    <w:next w:val="24"/>
    <w:qFormat/>
    <w:uiPriority w:val="0"/>
    <w:pPr>
      <w:ind w:firstLine="0" w:firstLineChars="0"/>
      <w:jc w:val="center"/>
    </w:pPr>
    <w:rPr>
      <w:rFonts w:ascii="黑体" w:eastAsia="黑体"/>
    </w:rPr>
  </w:style>
  <w:style w:type="paragraph" w:customStyle="1" w:styleId="122">
    <w:name w:val="一级无"/>
    <w:basedOn w:val="67"/>
    <w:qFormat/>
    <w:uiPriority w:val="0"/>
    <w:pPr>
      <w:spacing w:beforeLines="0" w:afterLines="0"/>
    </w:pPr>
    <w:rPr>
      <w:rFonts w:ascii="宋体" w:eastAsia="宋体"/>
    </w:rPr>
  </w:style>
  <w:style w:type="paragraph" w:customStyle="1" w:styleId="123">
    <w:name w:val="其他实施日期"/>
    <w:basedOn w:val="96"/>
    <w:qFormat/>
    <w:uiPriority w:val="0"/>
    <w:pPr>
      <w:framePr w:wrap="around"/>
    </w:pPr>
  </w:style>
  <w:style w:type="paragraph" w:customStyle="1" w:styleId="124">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5">
    <w:name w:val="正文表标题"/>
    <w:next w:val="24"/>
    <w:qFormat/>
    <w:uiPriority w:val="0"/>
    <w:pPr>
      <w:numPr>
        <w:ilvl w:val="0"/>
        <w:numId w:val="15"/>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封面标准文稿编辑信息"/>
    <w:basedOn w:val="76"/>
    <w:qFormat/>
    <w:uiPriority w:val="0"/>
    <w:pPr>
      <w:framePr w:wrap="around"/>
      <w:spacing w:before="180" w:line="180" w:lineRule="exact"/>
    </w:pPr>
    <w:rPr>
      <w:sz w:val="21"/>
    </w:rPr>
  </w:style>
  <w:style w:type="paragraph" w:customStyle="1" w:styleId="12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28">
    <w:name w:val="其他标准标志"/>
    <w:basedOn w:val="103"/>
    <w:qFormat/>
    <w:uiPriority w:val="0"/>
    <w:pPr>
      <w:framePr w:w="6101" w:wrap="around" w:vAnchor="page" w:hAnchor="page" w:x="4673" w:y="942"/>
    </w:pPr>
    <w:rPr>
      <w:w w:val="130"/>
    </w:rPr>
  </w:style>
  <w:style w:type="paragraph" w:customStyle="1" w:styleId="129">
    <w:name w:val="列项◆（三级）"/>
    <w:basedOn w:val="1"/>
    <w:qFormat/>
    <w:uiPriority w:val="0"/>
    <w:pPr>
      <w:numPr>
        <w:ilvl w:val="2"/>
        <w:numId w:val="7"/>
      </w:numPr>
    </w:pPr>
    <w:rPr>
      <w:rFonts w:ascii="宋体"/>
      <w:szCs w:val="21"/>
    </w:rPr>
  </w:style>
  <w:style w:type="paragraph" w:customStyle="1" w:styleId="13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1">
    <w:name w:val="注×：（正文）"/>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32">
    <w:name w:val="封面一致性程度标识2"/>
    <w:basedOn w:val="56"/>
    <w:qFormat/>
    <w:uiPriority w:val="0"/>
    <w:pPr>
      <w:framePr w:wrap="around" w:y="4469"/>
    </w:pPr>
  </w:style>
  <w:style w:type="paragraph" w:customStyle="1" w:styleId="1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4">
    <w:name w:val="封面标准英文名称2"/>
    <w:basedOn w:val="57"/>
    <w:qFormat/>
    <w:uiPriority w:val="0"/>
    <w:pPr>
      <w:framePr w:wrap="around" w:y="4469"/>
    </w:pPr>
  </w:style>
  <w:style w:type="paragraph" w:customStyle="1" w:styleId="135">
    <w:name w:val="附录三级无"/>
    <w:basedOn w:val="61"/>
    <w:qFormat/>
    <w:uiPriority w:val="0"/>
    <w:pPr>
      <w:tabs>
        <w:tab w:val="clear" w:pos="360"/>
      </w:tabs>
      <w:spacing w:beforeLines="0" w:afterLines="0"/>
    </w:pPr>
    <w:rPr>
      <w:rFonts w:ascii="宋体" w:eastAsia="宋体"/>
      <w:szCs w:val="21"/>
    </w:rPr>
  </w:style>
  <w:style w:type="paragraph" w:customStyle="1" w:styleId="136">
    <w:name w:val="封面标准文稿编辑信息2"/>
    <w:basedOn w:val="126"/>
    <w:qFormat/>
    <w:uiPriority w:val="0"/>
    <w:pPr>
      <w:framePr w:wrap="around" w:y="4469"/>
    </w:pPr>
  </w:style>
  <w:style w:type="paragraph" w:customStyle="1" w:styleId="137">
    <w:name w:val="终结线"/>
    <w:basedOn w:val="1"/>
    <w:qFormat/>
    <w:uiPriority w:val="0"/>
    <w:pPr>
      <w:framePr w:hSpace="181" w:vSpace="181" w:wrap="around" w:vAnchor="text" w:hAnchor="margin" w:xAlign="center" w:y="285"/>
    </w:pPr>
  </w:style>
  <w:style w:type="paragraph" w:customStyle="1" w:styleId="138">
    <w:name w:val="附录二级无"/>
    <w:basedOn w:val="62"/>
    <w:qFormat/>
    <w:uiPriority w:val="0"/>
    <w:pPr>
      <w:tabs>
        <w:tab w:val="clear" w:pos="360"/>
      </w:tabs>
      <w:spacing w:beforeLines="0" w:afterLines="0"/>
    </w:pPr>
    <w:rPr>
      <w:rFonts w:ascii="宋体" w:eastAsia="宋体"/>
      <w:szCs w:val="21"/>
    </w:rPr>
  </w:style>
  <w:style w:type="paragraph" w:customStyle="1" w:styleId="139">
    <w:name w:val="正文图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0">
    <w:name w:val="字母编号列项（一级）"/>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41">
    <w:name w:val="封面正文"/>
    <w:qFormat/>
    <w:uiPriority w:val="0"/>
    <w:pPr>
      <w:jc w:val="both"/>
    </w:pPr>
    <w:rPr>
      <w:rFonts w:ascii="Times New Roman" w:hAnsi="Times New Roman" w:eastAsia="宋体" w:cs="Times New Roman"/>
      <w:lang w:val="en-US" w:eastAsia="zh-CN" w:bidi="ar-SA"/>
    </w:rPr>
  </w:style>
  <w:style w:type="paragraph" w:customStyle="1" w:styleId="142">
    <w:name w:val="Table Paragraph"/>
    <w:basedOn w:val="1"/>
    <w:qFormat/>
    <w:uiPriority w:val="1"/>
    <w:pPr>
      <w:spacing w:before="106"/>
      <w:ind w:left="847"/>
      <w:jc w:val="center"/>
    </w:pPr>
    <w:rPr>
      <w:rFonts w:eastAsia="Times New Roman"/>
    </w:rPr>
  </w:style>
  <w:style w:type="table" w:customStyle="1" w:styleId="143">
    <w:name w:val="Table Normal"/>
    <w:semiHidden/>
    <w:unhideWhenUsed/>
    <w:qFormat/>
    <w:uiPriority w:val="2"/>
    <w:tblPr>
      <w:tblCellMar>
        <w:top w:w="0" w:type="dxa"/>
        <w:left w:w="0" w:type="dxa"/>
        <w:bottom w:w="0" w:type="dxa"/>
        <w:right w:w="0" w:type="dxa"/>
      </w:tblCellMar>
    </w:tblPr>
  </w:style>
  <w:style w:type="paragraph" w:customStyle="1" w:styleId="14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30828;&#37329;&#38236;&#20809;&#30005;&#38136;&#24037;&#33402;&#26631;&#2093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硬金镜光电铸工艺标准</Template>
  <Company>zle</Company>
  <Pages>16</Pages>
  <Words>5706</Words>
  <Characters>6527</Characters>
  <Lines>23</Lines>
  <Paragraphs>6</Paragraphs>
  <TotalTime>0</TotalTime>
  <ScaleCrop>false</ScaleCrop>
  <LinksUpToDate>false</LinksUpToDate>
  <CharactersWithSpaces>7201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2020-07-07T09:43:00Z</dcterms:created>
  <dc:creator>asus</dc:creator>
  <cp:lastModifiedBy>WPS_1174527824</cp:lastModifiedBy>
  <dcterms:modified xsi:type="dcterms:W3CDTF">2022-12-21T08:58:56Z</dcterms:modified>
  <dc:title>标准名称</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BC078263289340AAADAB91F528B50DEE</vt:lpwstr>
  </property>
</Properties>
</file>