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eastAsia="zh-CN"/>
        </w:rPr>
        <w:t>贵金属薄片</w:t>
      </w:r>
      <w:r>
        <w:rPr>
          <w:rFonts w:hint="eastAsia" w:ascii="黑体" w:hAnsi="黑体" w:eastAsia="黑体"/>
          <w:sz w:val="32"/>
          <w:szCs w:val="32"/>
          <w:lang w:val="en-US" w:eastAsia="zh-CN"/>
        </w:rPr>
        <w:t>制品</w:t>
      </w:r>
      <w:r>
        <w:rPr>
          <w:rFonts w:hint="eastAsia" w:ascii="黑体" w:hAnsi="黑体" w:eastAsia="黑体"/>
          <w:sz w:val="32"/>
          <w:szCs w:val="32"/>
        </w:rPr>
        <w:t>》编制说明</w:t>
      </w:r>
    </w:p>
    <w:p>
      <w:pPr>
        <w:numPr>
          <w:ilvl w:val="0"/>
          <w:numId w:val="1"/>
        </w:numPr>
        <w:tabs>
          <w:tab w:val="left" w:pos="540"/>
          <w:tab w:val="clear" w:pos="720"/>
        </w:tabs>
        <w:spacing w:line="360" w:lineRule="auto"/>
        <w:ind w:left="360" w:hanging="360"/>
        <w:rPr>
          <w:rFonts w:ascii="黑体" w:hAnsi="黑体" w:eastAsia="黑体"/>
          <w:sz w:val="28"/>
          <w:szCs w:val="28"/>
        </w:rPr>
      </w:pPr>
      <w:r>
        <w:rPr>
          <w:rFonts w:hint="eastAsia" w:ascii="黑体" w:hAnsi="黑体" w:eastAsia="黑体"/>
          <w:sz w:val="28"/>
          <w:szCs w:val="28"/>
        </w:rPr>
        <w:t>工作概况</w:t>
      </w:r>
    </w:p>
    <w:p>
      <w:pPr>
        <w:spacing w:line="360" w:lineRule="auto"/>
        <w:ind w:firstLine="480" w:firstLineChars="200"/>
        <w:rPr>
          <w:rFonts w:ascii="黑体" w:hAnsi="黑体" w:eastAsia="黑体"/>
          <w:sz w:val="24"/>
        </w:rPr>
      </w:pPr>
      <w:r>
        <w:rPr>
          <w:rFonts w:hint="eastAsia" w:ascii="黑体" w:hAnsi="黑体" w:eastAsia="黑体"/>
          <w:sz w:val="24"/>
        </w:rPr>
        <w:t>1、任务来源</w:t>
      </w:r>
    </w:p>
    <w:p>
      <w:pPr>
        <w:widowControl/>
        <w:spacing w:line="360" w:lineRule="auto"/>
        <w:ind w:firstLine="480" w:firstLineChars="200"/>
        <w:jc w:val="left"/>
        <w:rPr>
          <w:rFonts w:ascii="宋体" w:hAnsi="宋体"/>
          <w:sz w:val="24"/>
        </w:rPr>
      </w:pPr>
      <w:r>
        <w:rPr>
          <w:rFonts w:hint="eastAsia" w:ascii="宋体" w:hAnsi="宋体"/>
          <w:sz w:val="24"/>
          <w:lang w:val="en-US" w:eastAsia="zh-CN"/>
        </w:rPr>
        <w:t>本标准由深圳市宝联珠宝标准与信息技术促进中心提出，按照GB/T 1.1-2020的规定起草。本标准主要起草单位：深圳百泰投资控股集团有限公司、深圳市百泰国礼文化创意有限公司、深圳市宝联珠宝标准与信息技术促进中心。</w:t>
      </w:r>
    </w:p>
    <w:p>
      <w:pPr>
        <w:spacing w:line="360" w:lineRule="auto"/>
        <w:ind w:left="359" w:leftChars="171" w:firstLine="120" w:firstLineChars="50"/>
        <w:rPr>
          <w:rFonts w:ascii="黑体" w:hAnsi="黑体" w:eastAsia="黑体"/>
          <w:sz w:val="24"/>
        </w:rPr>
      </w:pPr>
      <w:r>
        <w:rPr>
          <w:rFonts w:hint="eastAsia" w:ascii="黑体" w:hAnsi="黑体" w:eastAsia="黑体"/>
          <w:sz w:val="24"/>
        </w:rPr>
        <w:t>2、主要工作过程</w:t>
      </w:r>
    </w:p>
    <w:p>
      <w:pPr>
        <w:spacing w:line="360" w:lineRule="auto"/>
        <w:ind w:firstLine="480" w:firstLineChars="200"/>
        <w:rPr>
          <w:sz w:val="24"/>
        </w:rPr>
      </w:pPr>
      <w:r>
        <w:rPr>
          <w:rFonts w:hint="eastAsia"/>
          <w:sz w:val="24"/>
        </w:rPr>
        <w:t>（1）起草（草案、论证）阶段：</w:t>
      </w:r>
      <w:r>
        <w:rPr>
          <w:sz w:val="24"/>
        </w:rPr>
        <w:t>202</w:t>
      </w:r>
      <w:r>
        <w:rPr>
          <w:rFonts w:hint="eastAsia"/>
          <w:sz w:val="24"/>
          <w:lang w:val="en-US" w:eastAsia="zh-CN"/>
        </w:rPr>
        <w:t>2</w:t>
      </w:r>
      <w:r>
        <w:rPr>
          <w:rFonts w:hint="eastAsia"/>
          <w:sz w:val="24"/>
        </w:rPr>
        <w:t>年</w:t>
      </w:r>
      <w:r>
        <w:rPr>
          <w:rFonts w:hint="eastAsia"/>
          <w:sz w:val="24"/>
          <w:lang w:val="en-US" w:eastAsia="zh-CN"/>
        </w:rPr>
        <w:t>4</w:t>
      </w:r>
      <w:r>
        <w:rPr>
          <w:rFonts w:hint="eastAsia"/>
          <w:sz w:val="24"/>
        </w:rPr>
        <w:t>月立项，主要起草单位正式征集工作组成员，工作组成员主要</w:t>
      </w:r>
      <w:r>
        <w:rPr>
          <w:rFonts w:hint="eastAsia"/>
          <w:sz w:val="24"/>
          <w:lang w:val="en-US" w:eastAsia="zh-CN"/>
        </w:rPr>
        <w:t>来自于</w:t>
      </w:r>
      <w:r>
        <w:rPr>
          <w:rFonts w:hint="eastAsia" w:ascii="宋体" w:hAnsi="宋体"/>
          <w:sz w:val="24"/>
          <w:lang w:val="en-US" w:eastAsia="zh-CN"/>
        </w:rPr>
        <w:t>深圳市百泰国礼文化创意有限公司、深圳百泰投资控股集团有限公司、深圳市宝联珠宝标准与信息技术促进中心等</w:t>
      </w:r>
      <w:r>
        <w:rPr>
          <w:rFonts w:hint="eastAsia"/>
          <w:sz w:val="24"/>
        </w:rPr>
        <w:t>；20</w:t>
      </w:r>
      <w:r>
        <w:rPr>
          <w:sz w:val="24"/>
        </w:rPr>
        <w:t>2</w:t>
      </w:r>
      <w:r>
        <w:rPr>
          <w:rFonts w:hint="eastAsia"/>
          <w:sz w:val="24"/>
          <w:lang w:val="en-US" w:eastAsia="zh-CN"/>
        </w:rPr>
        <w:t>2</w:t>
      </w:r>
      <w:r>
        <w:rPr>
          <w:rFonts w:hint="eastAsia"/>
          <w:sz w:val="24"/>
        </w:rPr>
        <w:t>年</w:t>
      </w:r>
      <w:r>
        <w:rPr>
          <w:rFonts w:hint="eastAsia"/>
          <w:sz w:val="24"/>
          <w:lang w:val="en-US" w:eastAsia="zh-CN"/>
        </w:rPr>
        <w:t>5</w:t>
      </w:r>
      <w:r>
        <w:rPr>
          <w:rFonts w:hint="eastAsia"/>
          <w:sz w:val="24"/>
        </w:rPr>
        <w:t>月，</w:t>
      </w:r>
      <w:r>
        <w:rPr>
          <w:rFonts w:hint="eastAsia"/>
          <w:sz w:val="24"/>
          <w:lang w:val="en-US" w:eastAsia="zh-CN"/>
        </w:rPr>
        <w:t>工作组根据原有《贵金属薄片制品》企业标准进行结构调整</w:t>
      </w:r>
      <w:r>
        <w:rPr>
          <w:rFonts w:hint="eastAsia"/>
          <w:sz w:val="24"/>
        </w:rPr>
        <w:t>，编制</w:t>
      </w:r>
      <w:r>
        <w:rPr>
          <w:rFonts w:hint="eastAsia"/>
          <w:sz w:val="24"/>
          <w:lang w:val="en-US" w:eastAsia="zh-CN"/>
        </w:rPr>
        <w:t>团体</w:t>
      </w:r>
      <w:r>
        <w:rPr>
          <w:rFonts w:hint="eastAsia"/>
          <w:sz w:val="24"/>
        </w:rPr>
        <w:t>标准大纲；2</w:t>
      </w:r>
      <w:r>
        <w:rPr>
          <w:sz w:val="24"/>
        </w:rPr>
        <w:t>02</w:t>
      </w:r>
      <w:r>
        <w:rPr>
          <w:rFonts w:hint="eastAsia"/>
          <w:sz w:val="24"/>
          <w:lang w:val="en-US" w:eastAsia="zh-CN"/>
        </w:rPr>
        <w:t>2</w:t>
      </w:r>
      <w:r>
        <w:rPr>
          <w:rFonts w:hint="eastAsia"/>
          <w:sz w:val="24"/>
        </w:rPr>
        <w:t>年</w:t>
      </w:r>
      <w:r>
        <w:rPr>
          <w:rFonts w:hint="eastAsia"/>
          <w:sz w:val="24"/>
          <w:lang w:val="en-US" w:eastAsia="zh-CN"/>
        </w:rPr>
        <w:t>6</w:t>
      </w:r>
      <w:r>
        <w:rPr>
          <w:rFonts w:hint="eastAsia"/>
          <w:sz w:val="24"/>
        </w:rPr>
        <w:t>月，开展工作组讨论会，修改标准大纲；</w:t>
      </w:r>
      <w:r>
        <w:rPr>
          <w:sz w:val="24"/>
        </w:rPr>
        <w:t>202</w:t>
      </w:r>
      <w:r>
        <w:rPr>
          <w:rFonts w:hint="eastAsia"/>
          <w:sz w:val="24"/>
          <w:lang w:val="en-US" w:eastAsia="zh-CN"/>
        </w:rPr>
        <w:t>2</w:t>
      </w:r>
      <w:r>
        <w:rPr>
          <w:rFonts w:hint="eastAsia"/>
          <w:sz w:val="24"/>
        </w:rPr>
        <w:t>年</w:t>
      </w:r>
      <w:r>
        <w:rPr>
          <w:rFonts w:hint="eastAsia"/>
          <w:sz w:val="24"/>
          <w:lang w:val="en-US" w:eastAsia="zh-CN"/>
        </w:rPr>
        <w:t>7</w:t>
      </w:r>
      <w:r>
        <w:rPr>
          <w:rFonts w:hint="eastAsia"/>
          <w:sz w:val="24"/>
        </w:rPr>
        <w:t>月，工作组</w:t>
      </w:r>
      <w:r>
        <w:rPr>
          <w:rFonts w:hint="eastAsia"/>
          <w:sz w:val="24"/>
          <w:lang w:val="en-US" w:eastAsia="zh-CN"/>
        </w:rPr>
        <w:t>根据修改意见形成标准草案；</w:t>
      </w:r>
      <w:r>
        <w:rPr>
          <w:sz w:val="24"/>
        </w:rPr>
        <w:t>202</w:t>
      </w:r>
      <w:r>
        <w:rPr>
          <w:rFonts w:hint="eastAsia"/>
          <w:sz w:val="24"/>
          <w:lang w:val="en-US" w:eastAsia="zh-CN"/>
        </w:rPr>
        <w:t>2</w:t>
      </w:r>
      <w:r>
        <w:rPr>
          <w:rFonts w:hint="eastAsia"/>
          <w:sz w:val="24"/>
        </w:rPr>
        <w:t>年</w:t>
      </w:r>
      <w:r>
        <w:rPr>
          <w:rFonts w:hint="eastAsia"/>
          <w:sz w:val="24"/>
          <w:lang w:val="en-US" w:eastAsia="zh-CN"/>
        </w:rPr>
        <w:t>8</w:t>
      </w:r>
      <w:r>
        <w:rPr>
          <w:rFonts w:hint="eastAsia"/>
          <w:sz w:val="24"/>
        </w:rPr>
        <w:t>月</w:t>
      </w:r>
      <w:r>
        <w:rPr>
          <w:rFonts w:hint="eastAsia"/>
          <w:sz w:val="24"/>
          <w:lang w:eastAsia="zh-CN"/>
        </w:rPr>
        <w:t>，</w:t>
      </w:r>
      <w:r>
        <w:rPr>
          <w:rFonts w:hint="eastAsia"/>
          <w:sz w:val="24"/>
        </w:rPr>
        <w:t>标准小组召开企业</w:t>
      </w:r>
      <w:r>
        <w:rPr>
          <w:rFonts w:hint="eastAsia"/>
          <w:sz w:val="24"/>
          <w:lang w:val="en-US" w:eastAsia="zh-CN"/>
        </w:rPr>
        <w:t>内部沟通讨论会</w:t>
      </w:r>
      <w:r>
        <w:rPr>
          <w:sz w:val="24"/>
        </w:rPr>
        <w:t>，形成</w:t>
      </w:r>
      <w:r>
        <w:rPr>
          <w:rFonts w:hint="eastAsia"/>
          <w:sz w:val="24"/>
          <w:lang w:val="en-US" w:eastAsia="zh-CN"/>
        </w:rPr>
        <w:t>征集意见稿</w:t>
      </w:r>
      <w:r>
        <w:rPr>
          <w:rFonts w:hint="eastAsia"/>
          <w:sz w:val="24"/>
        </w:rPr>
        <w:t>和编制说明等文件；</w:t>
      </w:r>
    </w:p>
    <w:p>
      <w:pPr>
        <w:spacing w:line="360" w:lineRule="auto"/>
        <w:ind w:firstLine="480" w:firstLineChars="200"/>
        <w:rPr>
          <w:rFonts w:hint="eastAsia"/>
          <w:sz w:val="24"/>
        </w:rPr>
      </w:pPr>
      <w:r>
        <w:rPr>
          <w:rFonts w:hint="eastAsia"/>
          <w:sz w:val="24"/>
        </w:rPr>
        <w:t>（2）征求意见阶段：</w:t>
      </w:r>
      <w:r>
        <w:rPr>
          <w:b w:val="0"/>
          <w:bCs w:val="0"/>
          <w:color w:val="auto"/>
          <w:sz w:val="24"/>
        </w:rPr>
        <w:t>202</w:t>
      </w:r>
      <w:r>
        <w:rPr>
          <w:rFonts w:hint="eastAsia"/>
          <w:b w:val="0"/>
          <w:bCs w:val="0"/>
          <w:color w:val="auto"/>
          <w:sz w:val="24"/>
          <w:lang w:val="en-US" w:eastAsia="zh-CN"/>
        </w:rPr>
        <w:t>2</w:t>
      </w:r>
      <w:r>
        <w:rPr>
          <w:rFonts w:hint="eastAsia"/>
          <w:b w:val="0"/>
          <w:bCs w:val="0"/>
          <w:color w:val="auto"/>
          <w:sz w:val="24"/>
        </w:rPr>
        <w:t>年</w:t>
      </w:r>
      <w:r>
        <w:rPr>
          <w:rFonts w:hint="eastAsia"/>
          <w:b w:val="0"/>
          <w:bCs w:val="0"/>
          <w:color w:val="auto"/>
          <w:sz w:val="24"/>
          <w:lang w:val="en-US" w:eastAsia="zh-CN"/>
        </w:rPr>
        <w:t>9</w:t>
      </w:r>
      <w:r>
        <w:rPr>
          <w:rFonts w:hint="eastAsia"/>
          <w:b w:val="0"/>
          <w:bCs w:val="0"/>
          <w:color w:val="auto"/>
          <w:sz w:val="24"/>
        </w:rPr>
        <w:t>月</w:t>
      </w:r>
      <w:r>
        <w:rPr>
          <w:rFonts w:hint="eastAsia"/>
          <w:b w:val="0"/>
          <w:bCs w:val="0"/>
          <w:color w:val="auto"/>
          <w:sz w:val="24"/>
          <w:lang w:eastAsia="zh-CN"/>
        </w:rPr>
        <w:t>，面向联盟成员单位征求意见；</w:t>
      </w:r>
      <w:r>
        <w:rPr>
          <w:rFonts w:hint="eastAsia"/>
          <w:b w:val="0"/>
          <w:bCs w:val="0"/>
          <w:color w:val="auto"/>
          <w:sz w:val="24"/>
          <w:lang w:val="en-US" w:eastAsia="zh-CN"/>
        </w:rPr>
        <w:t>2022年10月，汇总征求意见表，对标准文本进行修改，形成送审稿和编制说明等文件，并送审</w:t>
      </w:r>
      <w:r>
        <w:rPr>
          <w:rFonts w:hint="eastAsia"/>
          <w:sz w:val="24"/>
          <w:lang w:val="en-US" w:eastAsia="zh-CN"/>
        </w:rPr>
        <w:t>；</w:t>
      </w:r>
    </w:p>
    <w:p>
      <w:pPr>
        <w:spacing w:before="156" w:beforeLines="50" w:after="156" w:afterLines="50" w:line="360" w:lineRule="auto"/>
        <w:ind w:left="359" w:leftChars="171" w:firstLine="120" w:firstLineChars="50"/>
        <w:rPr>
          <w:rFonts w:ascii="黑体" w:hAnsi="黑体" w:eastAsia="黑体"/>
          <w:sz w:val="24"/>
        </w:rPr>
      </w:pPr>
      <w:bookmarkStart w:id="0" w:name="_GoBack"/>
      <w:bookmarkEnd w:id="0"/>
      <w:r>
        <w:rPr>
          <w:rFonts w:hint="eastAsia" w:ascii="黑体" w:hAnsi="黑体" w:eastAsia="黑体"/>
          <w:sz w:val="24"/>
        </w:rPr>
        <w:t>3、</w:t>
      </w:r>
      <w:r>
        <w:rPr>
          <w:rFonts w:ascii="黑体" w:hAnsi="黑体" w:eastAsia="黑体"/>
          <w:kern w:val="0"/>
          <w:sz w:val="24"/>
        </w:rPr>
        <w:t>主要参加单位和工作组成员及其所做的工作</w:t>
      </w:r>
    </w:p>
    <w:p>
      <w:pPr>
        <w:widowControl/>
        <w:spacing w:line="360" w:lineRule="auto"/>
        <w:ind w:firstLine="480" w:firstLineChars="200"/>
        <w:jc w:val="left"/>
        <w:rPr>
          <w:sz w:val="24"/>
        </w:rPr>
      </w:pPr>
      <w:r>
        <w:rPr>
          <w:rFonts w:hint="eastAsia"/>
          <w:sz w:val="24"/>
        </w:rPr>
        <w:t>本标准</w:t>
      </w:r>
      <w:r>
        <w:rPr>
          <w:rFonts w:hint="eastAsia" w:ascii="宋体" w:hAnsi="宋体"/>
          <w:sz w:val="24"/>
        </w:rPr>
        <w:t>由深圳百泰投资控股集团有限公司、深圳市百泰国礼文化创意有限公司、深圳市星光达珠宝首饰实业有限公司、深圳市翠绿首饰制造有限公司、周大生珠宝股份有限公司、东莞市金龙珠宝首饰有限公司、深圳市瑞麒珠宝首饰有限公司、深圳先示珠宝首饰工业设计研究院有限公司、深圳市宝联珠宝标准与信息技术促进中心、贵金属及珠宝玉石饰品企业标准联盟</w:t>
      </w:r>
      <w:r>
        <w:rPr>
          <w:rFonts w:hint="eastAsia" w:ascii="宋体" w:hAnsi="宋体"/>
          <w:sz w:val="24"/>
          <w:lang w:val="en-US" w:eastAsia="zh-CN"/>
        </w:rPr>
        <w:t>共同编制</w:t>
      </w:r>
      <w:r>
        <w:rPr>
          <w:rFonts w:hint="eastAsia"/>
          <w:sz w:val="24"/>
        </w:rPr>
        <w:t>。</w:t>
      </w:r>
    </w:p>
    <w:p>
      <w:pPr>
        <w:widowControl/>
        <w:spacing w:line="360" w:lineRule="auto"/>
        <w:ind w:firstLine="480" w:firstLineChars="200"/>
        <w:jc w:val="left"/>
        <w:rPr>
          <w:sz w:val="24"/>
        </w:rPr>
      </w:pPr>
      <w:r>
        <w:rPr>
          <w:rFonts w:hint="eastAsia"/>
          <w:sz w:val="24"/>
        </w:rPr>
        <w:t>主要成员：周灿坤、陈观霞</w:t>
      </w:r>
      <w:r>
        <w:rPr>
          <w:rFonts w:hint="eastAsia"/>
          <w:sz w:val="24"/>
          <w:lang w:eastAsia="zh-CN"/>
        </w:rPr>
        <w:t>、</w:t>
      </w:r>
      <w:r>
        <w:rPr>
          <w:rFonts w:hint="eastAsia"/>
          <w:sz w:val="24"/>
        </w:rPr>
        <w:t>郑秋菊、李章平、高婷、罗雪莹</w:t>
      </w:r>
      <w:r>
        <w:rPr>
          <w:rFonts w:hint="eastAsia"/>
          <w:sz w:val="24"/>
          <w:lang w:eastAsia="zh-CN"/>
        </w:rPr>
        <w:t>、</w:t>
      </w:r>
      <w:r>
        <w:rPr>
          <w:rFonts w:hint="eastAsia"/>
          <w:sz w:val="24"/>
          <w:lang w:val="en-US" w:eastAsia="zh-CN"/>
        </w:rPr>
        <w:t>黄延。</w:t>
      </w:r>
    </w:p>
    <w:p>
      <w:pPr>
        <w:widowControl/>
        <w:spacing w:line="360" w:lineRule="auto"/>
        <w:ind w:firstLine="480" w:firstLineChars="200"/>
        <w:jc w:val="left"/>
        <w:rPr>
          <w:sz w:val="24"/>
        </w:rPr>
      </w:pPr>
      <w:r>
        <w:rPr>
          <w:rFonts w:hint="eastAsia"/>
          <w:sz w:val="24"/>
        </w:rPr>
        <w:t>所做的工作：周灿坤负责</w:t>
      </w:r>
      <w:r>
        <w:rPr>
          <w:sz w:val="24"/>
        </w:rPr>
        <w:t>法律法规及定稿把关</w:t>
      </w:r>
      <w:r>
        <w:rPr>
          <w:rFonts w:hint="eastAsia"/>
          <w:sz w:val="24"/>
        </w:rPr>
        <w:t>；李章平</w:t>
      </w:r>
      <w:r>
        <w:rPr>
          <w:sz w:val="24"/>
        </w:rPr>
        <w:t>负责标准文本的审核修改及与意见单位的沟通</w:t>
      </w:r>
      <w:r>
        <w:rPr>
          <w:rFonts w:hint="eastAsia"/>
          <w:sz w:val="24"/>
        </w:rPr>
        <w:t>；郑秋菊</w:t>
      </w:r>
      <w:r>
        <w:rPr>
          <w:rFonts w:hint="eastAsia"/>
          <w:sz w:val="24"/>
          <w:lang w:val="en-US" w:eastAsia="zh-CN"/>
        </w:rPr>
        <w:t>负责</w:t>
      </w:r>
      <w:r>
        <w:rPr>
          <w:sz w:val="24"/>
        </w:rPr>
        <w:t>起草</w:t>
      </w:r>
      <w:r>
        <w:rPr>
          <w:rFonts w:hint="eastAsia"/>
          <w:sz w:val="24"/>
          <w:lang w:val="en-US" w:eastAsia="zh-CN"/>
        </w:rPr>
        <w:t>标准</w:t>
      </w:r>
      <w:r>
        <w:rPr>
          <w:sz w:val="24"/>
        </w:rPr>
        <w:t>文本</w:t>
      </w:r>
      <w:r>
        <w:rPr>
          <w:rFonts w:hint="eastAsia"/>
          <w:sz w:val="24"/>
          <w:lang w:val="en-US" w:eastAsia="zh-CN"/>
        </w:rPr>
        <w:t>及标准修改工作；黄延</w:t>
      </w:r>
      <w:r>
        <w:rPr>
          <w:rFonts w:hint="eastAsia"/>
          <w:sz w:val="24"/>
        </w:rPr>
        <w:t>负责问卷和资料调研</w:t>
      </w:r>
      <w:r>
        <w:rPr>
          <w:rFonts w:hint="eastAsia"/>
          <w:sz w:val="24"/>
          <w:lang w:eastAsia="zh-CN"/>
        </w:rPr>
        <w:t>；</w:t>
      </w:r>
      <w:r>
        <w:rPr>
          <w:rFonts w:hint="eastAsia"/>
          <w:sz w:val="24"/>
        </w:rPr>
        <w:t>高婷、罗雪莹</w:t>
      </w:r>
      <w:r>
        <w:rPr>
          <w:rFonts w:hint="eastAsia"/>
          <w:sz w:val="24"/>
          <w:lang w:val="en-US" w:eastAsia="zh-CN"/>
        </w:rPr>
        <w:t>负责</w:t>
      </w:r>
      <w:r>
        <w:rPr>
          <w:sz w:val="24"/>
        </w:rPr>
        <w:t>起草标准编制说明</w:t>
      </w:r>
      <w:r>
        <w:rPr>
          <w:rFonts w:hint="eastAsia"/>
          <w:sz w:val="24"/>
        </w:rPr>
        <w:t>、</w:t>
      </w:r>
      <w:r>
        <w:rPr>
          <w:sz w:val="24"/>
        </w:rPr>
        <w:t>企业各方面意见的征询和反馈收集</w:t>
      </w:r>
      <w:r>
        <w:rPr>
          <w:rFonts w:hint="eastAsia"/>
          <w:sz w:val="24"/>
        </w:rPr>
        <w:t>及标准文本</w:t>
      </w:r>
      <w:r>
        <w:rPr>
          <w:sz w:val="24"/>
        </w:rPr>
        <w:t>修改工作</w:t>
      </w:r>
      <w:r>
        <w:rPr>
          <w:rFonts w:hint="eastAsia"/>
          <w:sz w:val="24"/>
        </w:rPr>
        <w:t>。</w:t>
      </w:r>
    </w:p>
    <w:p>
      <w:pPr>
        <w:spacing w:before="156" w:beforeLines="50" w:line="360" w:lineRule="auto"/>
        <w:rPr>
          <w:rFonts w:eastAsia="黑体"/>
          <w:sz w:val="28"/>
          <w:szCs w:val="28"/>
        </w:rPr>
      </w:pPr>
      <w:r>
        <w:rPr>
          <w:rFonts w:eastAsia="黑体"/>
          <w:sz w:val="28"/>
          <w:szCs w:val="28"/>
        </w:rPr>
        <w:t>二、编制原则和主要内容</w:t>
      </w:r>
    </w:p>
    <w:p>
      <w:pPr>
        <w:spacing w:before="156" w:beforeLines="50" w:after="156" w:afterLines="50" w:line="360" w:lineRule="auto"/>
        <w:ind w:firstLine="480" w:firstLineChars="200"/>
        <w:rPr>
          <w:rFonts w:eastAsia="黑体"/>
          <w:sz w:val="24"/>
        </w:rPr>
      </w:pPr>
      <w:r>
        <w:rPr>
          <w:rFonts w:eastAsia="黑体"/>
          <w:sz w:val="24"/>
        </w:rPr>
        <w:t>1、编制原则</w:t>
      </w:r>
    </w:p>
    <w:p>
      <w:pPr>
        <w:spacing w:before="156" w:beforeLines="50" w:after="156" w:afterLines="50" w:line="360" w:lineRule="auto"/>
        <w:ind w:firstLine="480" w:firstLineChars="200"/>
        <w:rPr>
          <w:rFonts w:eastAsia="黑体"/>
          <w:sz w:val="24"/>
        </w:rPr>
      </w:pPr>
      <w:r>
        <w:rPr>
          <w:rFonts w:hint="eastAsia" w:ascii="宋体" w:hAnsi="宋体"/>
          <w:sz w:val="24"/>
        </w:rPr>
        <w:t>标准的格式、结构和内容主要按照GB/T 1.1《标准化工作导则 第1部分：标准的结构和编写》进行编写。编制原则符合《轻工行业标准制修订工作细则》的规定，符合成套成体系原则</w:t>
      </w:r>
      <w:r>
        <w:rPr>
          <w:rFonts w:hint="eastAsia" w:ascii="宋体" w:hAnsi="宋体"/>
          <w:kern w:val="0"/>
          <w:sz w:val="24"/>
        </w:rPr>
        <w:t>等</w:t>
      </w:r>
      <w:r>
        <w:rPr>
          <w:rFonts w:hint="eastAsia" w:ascii="宋体" w:hAnsi="宋体"/>
          <w:sz w:val="24"/>
        </w:rPr>
        <w:t>标准立项原则。标准编制原则如下：</w:t>
      </w:r>
    </w:p>
    <w:p>
      <w:pPr>
        <w:spacing w:before="156" w:beforeLines="50" w:after="156" w:afterLines="50" w:line="360" w:lineRule="auto"/>
        <w:ind w:firstLine="480" w:firstLineChars="200"/>
        <w:rPr>
          <w:rFonts w:ascii="宋体" w:hAnsi="宋体"/>
          <w:sz w:val="24"/>
        </w:rPr>
      </w:pPr>
      <w:r>
        <w:rPr>
          <w:rFonts w:hint="eastAsia" w:ascii="宋体" w:hAnsi="宋体"/>
          <w:sz w:val="24"/>
        </w:rPr>
        <w:t>a) 产业发展原则</w:t>
      </w:r>
    </w:p>
    <w:p>
      <w:pPr>
        <w:spacing w:before="156" w:beforeLines="50" w:after="156" w:afterLines="50" w:line="360" w:lineRule="auto"/>
        <w:ind w:firstLine="480" w:firstLineChars="200"/>
        <w:rPr>
          <w:rFonts w:ascii="宋体" w:hAnsi="宋体"/>
          <w:sz w:val="24"/>
        </w:rPr>
      </w:pPr>
      <w:r>
        <w:rPr>
          <w:rFonts w:hint="eastAsia" w:ascii="宋体" w:hAnsi="宋体"/>
          <w:sz w:val="24"/>
        </w:rPr>
        <w:t>为促进产业升级，需要通过标准来推动，制定标准建立在</w:t>
      </w:r>
      <w:r>
        <w:rPr>
          <w:rFonts w:hint="eastAsia" w:ascii="宋体" w:hAnsi="宋体"/>
          <w:sz w:val="24"/>
          <w:lang w:val="en-US" w:eastAsia="zh-CN"/>
        </w:rPr>
        <w:t>深圳市百泰国礼文化创意有限公司高含量贵金属薄片制作的</w:t>
      </w:r>
      <w:r>
        <w:rPr>
          <w:rFonts w:hint="eastAsia" w:ascii="宋体" w:hAnsi="宋体"/>
          <w:sz w:val="24"/>
        </w:rPr>
        <w:t>技术基础，标准计划履行符合企业为主、中介参与、政府引导和支持的标准制修订新模式，技术、人才、资金等各方面均有较好的准备，具有很强的可行性。</w:t>
      </w:r>
    </w:p>
    <w:p>
      <w:pPr>
        <w:spacing w:before="156" w:beforeLines="50" w:after="156" w:afterLines="50" w:line="360" w:lineRule="auto"/>
        <w:ind w:firstLine="480" w:firstLineChars="200"/>
        <w:rPr>
          <w:rFonts w:ascii="宋体" w:hAnsi="宋体"/>
          <w:sz w:val="24"/>
        </w:rPr>
      </w:pPr>
      <w:r>
        <w:rPr>
          <w:rFonts w:hint="eastAsia" w:ascii="宋体" w:hAnsi="宋体"/>
          <w:sz w:val="24"/>
        </w:rPr>
        <w:t>b)</w:t>
      </w:r>
      <w:r>
        <w:rPr>
          <w:rFonts w:hint="eastAsia" w:ascii="宋体" w:hAnsi="宋体"/>
          <w:sz w:val="24"/>
        </w:rPr>
        <w:tab/>
      </w:r>
      <w:r>
        <w:rPr>
          <w:rFonts w:hint="eastAsia" w:ascii="宋体" w:hAnsi="宋体"/>
          <w:sz w:val="24"/>
        </w:rPr>
        <w:t>市场需要原则</w:t>
      </w:r>
    </w:p>
    <w:p>
      <w:pPr>
        <w:spacing w:before="156" w:beforeLines="50" w:after="156" w:afterLines="50" w:line="360" w:lineRule="auto"/>
        <w:ind w:firstLine="480" w:firstLineChars="200"/>
        <w:rPr>
          <w:rFonts w:ascii="宋体" w:hAnsi="宋体"/>
          <w:sz w:val="24"/>
        </w:rPr>
      </w:pPr>
      <w:r>
        <w:rPr>
          <w:rFonts w:hint="eastAsia" w:ascii="宋体" w:hAnsi="宋体"/>
          <w:sz w:val="24"/>
        </w:rPr>
        <w:t>标准计划的提出和编制，以充分调研我国珠宝首饰制造加工企业的实际标准需求为基础，力求符合</w:t>
      </w:r>
      <w:r>
        <w:rPr>
          <w:rFonts w:hint="eastAsia" w:ascii="宋体" w:hAnsi="宋体"/>
          <w:sz w:val="24"/>
          <w:lang w:val="en-US" w:eastAsia="zh-CN"/>
        </w:rPr>
        <w:t>黄金</w:t>
      </w:r>
      <w:r>
        <w:rPr>
          <w:rFonts w:hint="eastAsia" w:ascii="宋体" w:hAnsi="宋体"/>
          <w:sz w:val="24"/>
        </w:rPr>
        <w:t>首饰制造加工企业的需要。</w:t>
      </w:r>
    </w:p>
    <w:p>
      <w:pPr>
        <w:spacing w:before="156" w:beforeLines="50" w:after="156" w:afterLines="50" w:line="360" w:lineRule="auto"/>
        <w:ind w:firstLine="480" w:firstLineChars="200"/>
        <w:rPr>
          <w:rFonts w:ascii="宋体" w:hAnsi="宋体"/>
          <w:sz w:val="24"/>
        </w:rPr>
      </w:pPr>
      <w:r>
        <w:rPr>
          <w:rFonts w:hint="eastAsia" w:ascii="宋体" w:hAnsi="宋体"/>
          <w:sz w:val="24"/>
        </w:rPr>
        <w:t>c)</w:t>
      </w:r>
      <w:r>
        <w:rPr>
          <w:rFonts w:hint="eastAsia" w:ascii="宋体" w:hAnsi="宋体"/>
          <w:sz w:val="24"/>
        </w:rPr>
        <w:tab/>
      </w:r>
      <w:r>
        <w:rPr>
          <w:rFonts w:hint="eastAsia" w:ascii="宋体" w:hAnsi="宋体"/>
          <w:sz w:val="24"/>
        </w:rPr>
        <w:t>重点突出原则</w:t>
      </w:r>
    </w:p>
    <w:p>
      <w:pPr>
        <w:spacing w:before="156" w:beforeLines="50" w:after="156" w:afterLines="50" w:line="360" w:lineRule="auto"/>
        <w:ind w:firstLine="480" w:firstLineChars="200"/>
        <w:rPr>
          <w:rFonts w:ascii="宋体" w:hAnsi="宋体"/>
          <w:sz w:val="24"/>
        </w:rPr>
      </w:pPr>
      <w:r>
        <w:rPr>
          <w:rFonts w:hint="eastAsia" w:ascii="宋体" w:hAnsi="宋体"/>
          <w:sz w:val="24"/>
        </w:rPr>
        <w:t>标准内容编制包含</w:t>
      </w:r>
      <w:r>
        <w:rPr>
          <w:rFonts w:hint="eastAsia" w:ascii="宋体" w:hAnsi="宋体"/>
          <w:sz w:val="24"/>
          <w:lang w:val="en-US" w:eastAsia="zh-CN"/>
        </w:rPr>
        <w:t>贵金属薄片制品</w:t>
      </w:r>
      <w:r>
        <w:rPr>
          <w:rFonts w:hint="eastAsia" w:ascii="宋体" w:hAnsi="宋体"/>
          <w:sz w:val="24"/>
        </w:rPr>
        <w:t>的各个方面，突出标准重点。</w:t>
      </w:r>
    </w:p>
    <w:p>
      <w:pPr>
        <w:spacing w:before="156" w:beforeLines="50" w:after="156" w:afterLines="50" w:line="360" w:lineRule="auto"/>
        <w:ind w:firstLine="480" w:firstLineChars="200"/>
        <w:rPr>
          <w:rFonts w:ascii="宋体" w:hAnsi="宋体"/>
          <w:sz w:val="24"/>
        </w:rPr>
      </w:pPr>
      <w:r>
        <w:rPr>
          <w:rFonts w:hint="eastAsia" w:ascii="宋体" w:hAnsi="宋体"/>
          <w:sz w:val="24"/>
        </w:rPr>
        <w:t>d)</w:t>
      </w:r>
      <w:r>
        <w:rPr>
          <w:rFonts w:hint="eastAsia" w:ascii="宋体" w:hAnsi="宋体"/>
          <w:sz w:val="24"/>
        </w:rPr>
        <w:tab/>
      </w:r>
      <w:r>
        <w:rPr>
          <w:rFonts w:hint="eastAsia" w:ascii="宋体" w:hAnsi="宋体"/>
          <w:sz w:val="24"/>
        </w:rPr>
        <w:t>成套成体系原则</w:t>
      </w:r>
    </w:p>
    <w:p>
      <w:pPr>
        <w:spacing w:before="156" w:beforeLines="50" w:after="156" w:afterLines="50" w:line="360" w:lineRule="auto"/>
        <w:ind w:firstLine="480" w:firstLineChars="200"/>
        <w:rPr>
          <w:rFonts w:ascii="宋体" w:hAnsi="宋体"/>
          <w:sz w:val="24"/>
        </w:rPr>
      </w:pPr>
      <w:r>
        <w:rPr>
          <w:rFonts w:hint="eastAsia" w:ascii="宋体" w:hAnsi="宋体"/>
          <w:sz w:val="24"/>
        </w:rPr>
        <w:t>标准计划的提出和编制，建立在充分查找和参阅现行法律法规及相关的国家标准、行业标准的基础上，保证标准计划的内容能够符合法律法规以及强制性国家标准、行业标准的要求，并避免与现行相关国家标准和行业标准内容发生交叉重复。力求标准计划的提出弥补我国现行珠宝首饰行业技术标准体系的空缺，共同推进行业标准体系的完善。</w:t>
      </w:r>
    </w:p>
    <w:p>
      <w:pPr>
        <w:spacing w:before="156" w:beforeLines="50" w:after="156" w:afterLines="50" w:line="360" w:lineRule="auto"/>
        <w:ind w:firstLine="480" w:firstLineChars="200"/>
        <w:rPr>
          <w:rFonts w:eastAsia="黑体"/>
          <w:sz w:val="24"/>
        </w:rPr>
      </w:pPr>
      <w:r>
        <w:rPr>
          <w:rFonts w:eastAsia="黑体"/>
          <w:sz w:val="24"/>
        </w:rPr>
        <w:t>2、主要技术内容</w:t>
      </w:r>
    </w:p>
    <w:p>
      <w:pPr>
        <w:spacing w:line="360" w:lineRule="auto"/>
        <w:ind w:right="227" w:rightChars="108" w:firstLine="480" w:firstLineChars="200"/>
        <w:rPr>
          <w:rFonts w:hint="eastAsia" w:hAnsi="宋体"/>
          <w:sz w:val="24"/>
        </w:rPr>
      </w:pPr>
      <w:r>
        <w:rPr>
          <w:rFonts w:hint="eastAsia" w:hAnsi="宋体"/>
          <w:sz w:val="24"/>
        </w:rPr>
        <w:t>本文件规定了</w:t>
      </w:r>
      <w:r>
        <w:rPr>
          <w:rFonts w:hint="eastAsia" w:hAnsi="宋体"/>
          <w:sz w:val="24"/>
          <w:lang w:eastAsia="zh-CN"/>
        </w:rPr>
        <w:t>贵金属薄片制品</w:t>
      </w:r>
      <w:r>
        <w:rPr>
          <w:rFonts w:hint="eastAsia" w:hAnsi="宋体"/>
          <w:sz w:val="24"/>
        </w:rPr>
        <w:t>的</w:t>
      </w:r>
      <w:r>
        <w:rPr>
          <w:rFonts w:hint="eastAsia" w:hAnsi="宋体"/>
          <w:sz w:val="24"/>
          <w:lang w:val="en-US" w:eastAsia="zh-CN"/>
        </w:rPr>
        <w:t>术语和定义、</w:t>
      </w:r>
      <w:r>
        <w:rPr>
          <w:rFonts w:hint="eastAsia" w:hAnsi="宋体"/>
          <w:sz w:val="24"/>
        </w:rPr>
        <w:t>质量</w:t>
      </w:r>
      <w:r>
        <w:rPr>
          <w:rFonts w:hint="eastAsia" w:hAnsi="宋体"/>
          <w:sz w:val="24"/>
          <w:lang w:val="en-US" w:eastAsia="zh-CN"/>
        </w:rPr>
        <w:t>要求</w:t>
      </w:r>
      <w:r>
        <w:rPr>
          <w:rFonts w:hint="eastAsia" w:hAnsi="宋体"/>
          <w:sz w:val="24"/>
        </w:rPr>
        <w:t>、</w:t>
      </w:r>
      <w:r>
        <w:rPr>
          <w:rFonts w:hint="eastAsia" w:hAnsi="宋体"/>
          <w:sz w:val="24"/>
          <w:lang w:val="en-US" w:eastAsia="zh-CN"/>
        </w:rPr>
        <w:t>测试方法、检验规则、</w:t>
      </w:r>
      <w:r>
        <w:rPr>
          <w:rFonts w:hint="eastAsia" w:hAnsi="宋体"/>
          <w:sz w:val="24"/>
        </w:rPr>
        <w:t>标识、运输</w:t>
      </w:r>
      <w:r>
        <w:rPr>
          <w:rFonts w:hint="eastAsia" w:hAnsi="宋体"/>
          <w:sz w:val="24"/>
          <w:lang w:val="en-US" w:eastAsia="zh-CN"/>
        </w:rPr>
        <w:t>及贮存</w:t>
      </w:r>
      <w:r>
        <w:rPr>
          <w:rFonts w:hint="eastAsia" w:hAnsi="宋体"/>
          <w:sz w:val="24"/>
        </w:rPr>
        <w:t>。</w:t>
      </w:r>
    </w:p>
    <w:p>
      <w:pPr>
        <w:spacing w:line="360" w:lineRule="auto"/>
        <w:ind w:right="227" w:rightChars="108" w:firstLine="480" w:firstLineChars="200"/>
        <w:rPr>
          <w:sz w:val="24"/>
        </w:rPr>
      </w:pPr>
      <w:r>
        <w:rPr>
          <w:rFonts w:hint="eastAsia" w:hAnsi="宋体"/>
          <w:sz w:val="24"/>
        </w:rPr>
        <w:t>本文件适用于</w:t>
      </w:r>
      <w:r>
        <w:rPr>
          <w:rFonts w:hint="eastAsia" w:hAnsi="宋体"/>
          <w:sz w:val="24"/>
          <w:lang w:eastAsia="zh-CN"/>
        </w:rPr>
        <w:t>贵金属薄片制品</w:t>
      </w:r>
      <w:r>
        <w:rPr>
          <w:rFonts w:hint="eastAsia" w:hAnsi="宋体"/>
          <w:sz w:val="24"/>
        </w:rPr>
        <w:t>，其他金属薄片</w:t>
      </w:r>
      <w:r>
        <w:rPr>
          <w:rFonts w:hint="eastAsia" w:hAnsi="宋体"/>
          <w:sz w:val="24"/>
          <w:lang w:val="en-US" w:eastAsia="zh-CN"/>
        </w:rPr>
        <w:t>制品</w:t>
      </w:r>
      <w:r>
        <w:rPr>
          <w:rFonts w:hint="eastAsia" w:hAnsi="宋体"/>
          <w:sz w:val="24"/>
        </w:rPr>
        <w:t>可参照执行。</w:t>
      </w:r>
    </w:p>
    <w:p>
      <w:pPr>
        <w:spacing w:before="156" w:beforeLines="50" w:after="156" w:afterLines="50" w:line="360" w:lineRule="auto"/>
        <w:ind w:right="227" w:rightChars="108" w:firstLine="480" w:firstLineChars="200"/>
        <w:rPr>
          <w:rFonts w:ascii="黑体" w:hAnsi="黑体" w:eastAsia="黑体"/>
          <w:sz w:val="24"/>
        </w:rPr>
      </w:pPr>
      <w:r>
        <w:rPr>
          <w:rFonts w:hint="eastAsia" w:ascii="黑体" w:hAnsi="黑体" w:eastAsia="黑体"/>
          <w:sz w:val="24"/>
        </w:rPr>
        <w:t>3、解决的主要问题</w:t>
      </w:r>
    </w:p>
    <w:p>
      <w:pPr>
        <w:spacing w:line="360" w:lineRule="auto"/>
        <w:ind w:right="227" w:rightChars="108" w:firstLine="480" w:firstLineChars="200"/>
        <w:rPr>
          <w:sz w:val="24"/>
        </w:rPr>
      </w:pPr>
      <w:r>
        <w:rPr>
          <w:rFonts w:hint="eastAsia" w:ascii="宋体" w:hAnsi="宋体"/>
          <w:sz w:val="24"/>
        </w:rPr>
        <w:t>制定团体标准《</w:t>
      </w:r>
      <w:r>
        <w:rPr>
          <w:rFonts w:hint="eastAsia" w:ascii="宋体" w:hAnsi="宋体"/>
          <w:sz w:val="24"/>
          <w:lang w:eastAsia="zh-CN"/>
        </w:rPr>
        <w:t>贵金属薄片</w:t>
      </w:r>
      <w:r>
        <w:rPr>
          <w:rFonts w:hint="eastAsia" w:ascii="宋体" w:hAnsi="宋体"/>
          <w:sz w:val="24"/>
          <w:lang w:val="en-US" w:eastAsia="zh-CN"/>
        </w:rPr>
        <w:t>制品</w:t>
      </w:r>
      <w:r>
        <w:rPr>
          <w:rFonts w:hint="eastAsia" w:ascii="宋体" w:hAnsi="宋体"/>
          <w:sz w:val="24"/>
        </w:rPr>
        <w:t>》无论从标准体系中此方面空白的角度，还是从实际产业需求出发，是及时而有效的。</w:t>
      </w:r>
      <w:r>
        <w:rPr>
          <w:rFonts w:hint="eastAsia" w:ascii="宋体" w:hAnsi="宋体"/>
          <w:sz w:val="24"/>
          <w:lang w:eastAsia="zh-CN"/>
        </w:rPr>
        <w:t>珠宝行业贵金属薄片</w:t>
      </w:r>
      <w:r>
        <w:rPr>
          <w:rFonts w:hint="eastAsia" w:ascii="宋体" w:hAnsi="宋体"/>
          <w:sz w:val="24"/>
        </w:rPr>
        <w:t>市场正在蓬勃发展，但仍然缺少标准来规范</w:t>
      </w:r>
      <w:r>
        <w:rPr>
          <w:rFonts w:hint="eastAsia" w:ascii="宋体" w:hAnsi="宋体"/>
          <w:sz w:val="24"/>
          <w:lang w:eastAsia="zh-CN"/>
        </w:rPr>
        <w:t>贵金属薄片</w:t>
      </w:r>
      <w:r>
        <w:rPr>
          <w:rFonts w:hint="eastAsia" w:ascii="宋体" w:hAnsi="宋体"/>
          <w:sz w:val="24"/>
        </w:rPr>
        <w:t>产品并为行业提供指导。通过制定《</w:t>
      </w:r>
      <w:r>
        <w:rPr>
          <w:rFonts w:hint="eastAsia" w:ascii="宋体" w:hAnsi="宋体"/>
          <w:sz w:val="24"/>
          <w:lang w:eastAsia="zh-CN"/>
        </w:rPr>
        <w:t>贵金属薄片</w:t>
      </w:r>
      <w:r>
        <w:rPr>
          <w:rFonts w:hint="eastAsia" w:ascii="宋体" w:hAnsi="宋体"/>
          <w:sz w:val="24"/>
          <w:lang w:val="en-US" w:eastAsia="zh-CN"/>
        </w:rPr>
        <w:t>制品</w:t>
      </w:r>
      <w:r>
        <w:rPr>
          <w:rFonts w:hint="eastAsia" w:ascii="宋体" w:hAnsi="宋体"/>
          <w:sz w:val="24"/>
        </w:rPr>
        <w:t>》标准，例如，</w:t>
      </w:r>
      <w:r>
        <w:rPr>
          <w:rFonts w:hint="eastAsia" w:ascii="宋体" w:hAnsi="宋体"/>
          <w:sz w:val="24"/>
          <w:lang w:eastAsia="zh-CN"/>
        </w:rPr>
        <w:t>贵金属薄片</w:t>
      </w:r>
      <w:r>
        <w:rPr>
          <w:rFonts w:hint="eastAsia" w:ascii="宋体" w:hAnsi="宋体"/>
          <w:sz w:val="24"/>
        </w:rPr>
        <w:t>产品</w:t>
      </w:r>
      <w:r>
        <w:rPr>
          <w:rFonts w:hint="eastAsia" w:ascii="宋体" w:hAnsi="宋体"/>
          <w:sz w:val="24"/>
          <w:lang w:eastAsia="zh-CN"/>
        </w:rPr>
        <w:t>的有害元素限定、</w:t>
      </w:r>
      <w:r>
        <w:rPr>
          <w:rFonts w:hint="eastAsia" w:ascii="宋体" w:hAnsi="宋体"/>
          <w:sz w:val="24"/>
          <w:lang w:val="en-US" w:eastAsia="zh-CN"/>
        </w:rPr>
        <w:t>薄片层</w:t>
      </w:r>
      <w:r>
        <w:rPr>
          <w:rFonts w:hint="eastAsia" w:ascii="宋体" w:hAnsi="宋体"/>
          <w:sz w:val="24"/>
          <w:lang w:eastAsia="zh-CN"/>
        </w:rPr>
        <w:t>厚度</w:t>
      </w:r>
      <w:r>
        <w:rPr>
          <w:rFonts w:hint="eastAsia" w:ascii="宋体" w:hAnsi="宋体"/>
          <w:sz w:val="24"/>
        </w:rPr>
        <w:t>等</w:t>
      </w:r>
      <w:r>
        <w:rPr>
          <w:rFonts w:hint="eastAsia" w:ascii="宋体" w:hAnsi="宋体"/>
          <w:sz w:val="24"/>
          <w:lang w:eastAsia="zh-CN"/>
        </w:rPr>
        <w:t>，</w:t>
      </w:r>
      <w:r>
        <w:rPr>
          <w:rFonts w:hint="eastAsia" w:ascii="宋体" w:hAnsi="宋体"/>
          <w:sz w:val="24"/>
          <w:lang w:val="en-US" w:eastAsia="zh-CN"/>
        </w:rPr>
        <w:t>为珠宝首饰行业提供标准依据及技术支撑，促进珠宝行业健康可持续发展</w:t>
      </w:r>
      <w:r>
        <w:rPr>
          <w:rFonts w:hint="eastAsia" w:ascii="宋体" w:hAnsi="宋体"/>
          <w:sz w:val="24"/>
        </w:rPr>
        <w:t>。</w:t>
      </w:r>
    </w:p>
    <w:p>
      <w:pPr>
        <w:spacing w:before="156" w:beforeLines="50" w:line="360" w:lineRule="auto"/>
        <w:rPr>
          <w:rFonts w:eastAsia="黑体"/>
          <w:sz w:val="28"/>
          <w:szCs w:val="28"/>
        </w:rPr>
      </w:pPr>
      <w:r>
        <w:rPr>
          <w:rFonts w:eastAsia="黑体"/>
          <w:sz w:val="28"/>
          <w:szCs w:val="28"/>
        </w:rPr>
        <w:t>三、主要试验</w:t>
      </w:r>
      <w:r>
        <w:rPr>
          <w:rFonts w:hint="eastAsia" w:eastAsia="黑体"/>
          <w:sz w:val="28"/>
          <w:szCs w:val="28"/>
        </w:rPr>
        <w:t>（或验证）</w:t>
      </w:r>
      <w:r>
        <w:rPr>
          <w:rFonts w:eastAsia="黑体"/>
          <w:sz w:val="28"/>
          <w:szCs w:val="28"/>
        </w:rPr>
        <w:t>情况</w:t>
      </w:r>
    </w:p>
    <w:p>
      <w:pPr>
        <w:spacing w:line="360" w:lineRule="auto"/>
        <w:ind w:firstLine="480"/>
        <w:rPr>
          <w:rFonts w:ascii="宋体" w:hAnsi="宋体"/>
          <w:sz w:val="24"/>
        </w:rPr>
      </w:pPr>
      <w:r>
        <w:rPr>
          <w:rFonts w:hint="eastAsia" w:ascii="宋体" w:hAnsi="宋体"/>
          <w:sz w:val="24"/>
        </w:rPr>
        <w:t>本标准为基础标准，无试验。</w:t>
      </w:r>
    </w:p>
    <w:p>
      <w:pPr>
        <w:spacing w:before="156" w:beforeLines="50" w:after="156" w:afterLines="50" w:line="360" w:lineRule="auto"/>
        <w:ind w:right="227" w:rightChars="108"/>
        <w:rPr>
          <w:rFonts w:eastAsia="黑体"/>
          <w:sz w:val="28"/>
          <w:szCs w:val="28"/>
        </w:rPr>
      </w:pPr>
      <w:r>
        <w:rPr>
          <w:rFonts w:eastAsia="黑体"/>
          <w:sz w:val="28"/>
          <w:szCs w:val="28"/>
        </w:rPr>
        <w:t>四、</w:t>
      </w:r>
      <w:r>
        <w:rPr>
          <w:rFonts w:eastAsia="黑体"/>
          <w:kern w:val="0"/>
          <w:sz w:val="28"/>
          <w:szCs w:val="28"/>
        </w:rPr>
        <w:t>标准中涉及专利</w:t>
      </w:r>
      <w:r>
        <w:rPr>
          <w:rFonts w:hint="eastAsia" w:eastAsia="黑体"/>
          <w:kern w:val="0"/>
          <w:sz w:val="28"/>
          <w:szCs w:val="28"/>
        </w:rPr>
        <w:t>情况</w:t>
      </w:r>
    </w:p>
    <w:p>
      <w:pPr>
        <w:spacing w:line="360" w:lineRule="auto"/>
        <w:ind w:right="227" w:rightChars="108" w:firstLine="480"/>
        <w:rPr>
          <w:sz w:val="24"/>
        </w:rPr>
      </w:pPr>
      <w:r>
        <w:rPr>
          <w:rFonts w:hint="eastAsia"/>
          <w:sz w:val="24"/>
        </w:rPr>
        <w:t>本标准不涉及专利问题</w:t>
      </w:r>
      <w:r>
        <w:rPr>
          <w:sz w:val="24"/>
        </w:rPr>
        <w:t>。</w:t>
      </w:r>
    </w:p>
    <w:p>
      <w:pPr>
        <w:spacing w:before="156" w:beforeLines="50" w:after="156" w:afterLines="50" w:line="360" w:lineRule="auto"/>
        <w:ind w:right="227" w:rightChars="108"/>
        <w:rPr>
          <w:rFonts w:eastAsia="黑体"/>
          <w:sz w:val="28"/>
          <w:szCs w:val="28"/>
        </w:rPr>
      </w:pPr>
      <w:r>
        <w:rPr>
          <w:rFonts w:eastAsia="黑体"/>
          <w:sz w:val="28"/>
          <w:szCs w:val="28"/>
        </w:rPr>
        <w:t>五、</w:t>
      </w:r>
      <w:r>
        <w:rPr>
          <w:rFonts w:hint="eastAsia" w:eastAsia="黑体"/>
          <w:sz w:val="28"/>
          <w:szCs w:val="28"/>
        </w:rPr>
        <w:t>预期达到的社会效益、对产业发展的作用等情况</w:t>
      </w: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中国是世界贵金属饰品的消费大国，产品的需求量大，随着人们审美要求的提高，产品种类的丰富，在现今社会，采用贵金属制作工艺品非常普遍，譬如贵金属邮票、贵金属画、贵金属明信片等等。由于贵金属本身的价格较高，许多贵金属工艺品会将贵金属做成厚度极薄的片状，形成工艺卡，以降低克重，降低价格，适宜推广。贵金属被压成薄片制成工艺品或参与到产品的设计中，丰富了产品种类，受到消费者的喜爱。近年来，随着珠宝首饰行业的多元化发展，随着贵金属薄片加工工艺的提高，该产品用料少，叠加其他工艺技术，融入大量的时尚元素、可以深加工成独特的产品，前景很好。</w:t>
      </w:r>
    </w:p>
    <w:p>
      <w:pPr>
        <w:spacing w:line="360" w:lineRule="auto"/>
        <w:ind w:firstLine="480" w:firstLineChars="200"/>
        <w:rPr>
          <w:rFonts w:ascii="宋体" w:hAnsi="宋体"/>
          <w:sz w:val="24"/>
        </w:rPr>
      </w:pPr>
      <w:r>
        <w:rPr>
          <w:rFonts w:hint="eastAsia" w:ascii="宋体" w:hAnsi="宋体"/>
          <w:sz w:val="24"/>
        </w:rPr>
        <w:t>本</w:t>
      </w:r>
      <w:r>
        <w:rPr>
          <w:rFonts w:ascii="宋体" w:hAnsi="宋体"/>
          <w:sz w:val="24"/>
        </w:rPr>
        <w:t>标准的制订和发布实施，及时快速的紧跟市场现状，满足市场需求，有利于促进</w:t>
      </w:r>
      <w:r>
        <w:rPr>
          <w:rFonts w:hint="eastAsia" w:ascii="宋体" w:hAnsi="宋体"/>
          <w:sz w:val="24"/>
          <w:lang w:val="en-US" w:eastAsia="zh-CN"/>
        </w:rPr>
        <w:t>贵金属薄片市场</w:t>
      </w:r>
      <w:r>
        <w:rPr>
          <w:rFonts w:ascii="宋体" w:hAnsi="宋体"/>
          <w:sz w:val="24"/>
        </w:rPr>
        <w:t>规范化发展，充分发挥标准支撑和引领作用。</w:t>
      </w:r>
    </w:p>
    <w:p>
      <w:pPr>
        <w:spacing w:before="156" w:beforeLines="50" w:after="156" w:afterLines="50" w:line="360" w:lineRule="auto"/>
        <w:ind w:right="227" w:rightChars="108"/>
        <w:rPr>
          <w:rFonts w:eastAsia="黑体"/>
          <w:kern w:val="0"/>
          <w:sz w:val="28"/>
          <w:szCs w:val="28"/>
        </w:rPr>
      </w:pPr>
      <w:r>
        <w:rPr>
          <w:rFonts w:eastAsia="黑体"/>
          <w:sz w:val="28"/>
          <w:szCs w:val="28"/>
        </w:rPr>
        <w:t>六、</w:t>
      </w:r>
      <w:r>
        <w:rPr>
          <w:rFonts w:hint="eastAsia" w:eastAsia="黑体"/>
          <w:kern w:val="0"/>
          <w:sz w:val="28"/>
          <w:szCs w:val="28"/>
        </w:rPr>
        <w:t>与</w:t>
      </w:r>
      <w:r>
        <w:rPr>
          <w:rFonts w:eastAsia="黑体"/>
          <w:kern w:val="0"/>
          <w:sz w:val="28"/>
          <w:szCs w:val="28"/>
        </w:rPr>
        <w:t>国际</w:t>
      </w:r>
      <w:r>
        <w:rPr>
          <w:rFonts w:hint="eastAsia" w:eastAsia="黑体"/>
          <w:kern w:val="0"/>
          <w:sz w:val="28"/>
          <w:szCs w:val="28"/>
        </w:rPr>
        <w:t>、</w:t>
      </w:r>
      <w:r>
        <w:rPr>
          <w:rFonts w:eastAsia="黑体"/>
          <w:kern w:val="0"/>
          <w:sz w:val="28"/>
          <w:szCs w:val="28"/>
        </w:rPr>
        <w:t>国外</w:t>
      </w:r>
      <w:r>
        <w:rPr>
          <w:rFonts w:hint="eastAsia" w:eastAsia="黑体"/>
          <w:kern w:val="0"/>
          <w:sz w:val="28"/>
          <w:szCs w:val="28"/>
        </w:rPr>
        <w:t>对比情况</w:t>
      </w:r>
    </w:p>
    <w:p>
      <w:pPr>
        <w:spacing w:line="360" w:lineRule="auto"/>
        <w:ind w:firstLine="480" w:firstLineChars="200"/>
        <w:rPr>
          <w:rFonts w:ascii="宋体" w:hAnsi="宋体"/>
          <w:sz w:val="24"/>
        </w:rPr>
      </w:pPr>
      <w:r>
        <w:rPr>
          <w:rFonts w:hint="eastAsia" w:ascii="宋体" w:hAnsi="宋体"/>
          <w:sz w:val="24"/>
        </w:rPr>
        <w:t>本标准梳理国内外相关标准，形成相关的标准集合。</w:t>
      </w:r>
    </w:p>
    <w:p>
      <w:pPr>
        <w:spacing w:line="360" w:lineRule="auto"/>
        <w:ind w:firstLine="480" w:firstLineChars="200"/>
        <w:rPr>
          <w:rFonts w:ascii="宋体" w:hAnsi="宋体"/>
          <w:sz w:val="24"/>
        </w:rPr>
      </w:pPr>
      <w:r>
        <w:rPr>
          <w:rFonts w:hint="eastAsia" w:ascii="宋体" w:hAnsi="宋体"/>
          <w:sz w:val="24"/>
        </w:rPr>
        <w:t>本标准制定过程中</w:t>
      </w:r>
      <w:r>
        <w:rPr>
          <w:rFonts w:hint="eastAsia" w:ascii="宋体" w:hAnsi="宋体"/>
          <w:sz w:val="24"/>
          <w:lang w:eastAsia="zh-CN"/>
        </w:rPr>
        <w:t>参考行业标准</w:t>
      </w:r>
      <w:r>
        <w:rPr>
          <w:rFonts w:hint="eastAsia" w:ascii="宋体" w:hAnsi="宋体"/>
          <w:sz w:val="24"/>
        </w:rPr>
        <w:t>未查到同类国际、国外标准。</w:t>
      </w:r>
    </w:p>
    <w:p>
      <w:pPr>
        <w:spacing w:line="360" w:lineRule="auto"/>
        <w:ind w:firstLine="480" w:firstLineChars="200"/>
        <w:rPr>
          <w:rFonts w:ascii="宋体" w:hAnsi="宋体"/>
          <w:sz w:val="24"/>
        </w:rPr>
      </w:pPr>
      <w:r>
        <w:rPr>
          <w:rFonts w:hint="eastAsia" w:ascii="宋体" w:hAnsi="宋体"/>
          <w:sz w:val="24"/>
        </w:rPr>
        <w:t>本标准制定过程中未测试国外的样品、样机。</w:t>
      </w:r>
    </w:p>
    <w:p>
      <w:pPr>
        <w:spacing w:after="156" w:afterLines="50" w:line="360" w:lineRule="auto"/>
        <w:ind w:firstLine="480" w:firstLineChars="200"/>
        <w:rPr>
          <w:rFonts w:ascii="宋体" w:hAnsi="宋体"/>
          <w:sz w:val="24"/>
        </w:rPr>
      </w:pPr>
      <w:r>
        <w:rPr>
          <w:rFonts w:hint="eastAsia" w:ascii="宋体" w:hAnsi="宋体"/>
          <w:sz w:val="24"/>
        </w:rPr>
        <w:t>本标准水平为国内先进水平。</w:t>
      </w:r>
    </w:p>
    <w:p>
      <w:pPr>
        <w:spacing w:after="156" w:afterLines="50" w:line="360" w:lineRule="auto"/>
        <w:rPr>
          <w:rFonts w:ascii="黑体" w:hAnsi="黑体" w:eastAsia="黑体"/>
          <w:sz w:val="28"/>
          <w:szCs w:val="28"/>
        </w:rPr>
      </w:pPr>
      <w:r>
        <w:rPr>
          <w:rFonts w:hint="eastAsia" w:ascii="黑体" w:hAnsi="黑体" w:eastAsia="黑体"/>
          <w:sz w:val="28"/>
          <w:szCs w:val="28"/>
        </w:rPr>
        <w:t>七、在标准体系中的位置，与现行相关法律、法规、规章及相关标准，特别是强制性标准的协调性</w:t>
      </w:r>
    </w:p>
    <w:p>
      <w:pPr>
        <w:spacing w:line="360" w:lineRule="auto"/>
        <w:ind w:firstLine="480" w:firstLineChars="200"/>
        <w:rPr>
          <w:rFonts w:ascii="宋体" w:hAnsi="宋体"/>
          <w:sz w:val="24"/>
        </w:rPr>
      </w:pPr>
      <w:r>
        <w:rPr>
          <w:rFonts w:hint="eastAsia" w:ascii="宋体" w:hAnsi="宋体"/>
          <w:sz w:val="24"/>
        </w:rPr>
        <w:t>本标准属于首饰领域标准体系“首饰”大类、“珠宝玉石饰品”中类。</w:t>
      </w:r>
    </w:p>
    <w:p>
      <w:pPr>
        <w:spacing w:after="156" w:afterLines="50" w:line="360" w:lineRule="auto"/>
        <w:ind w:firstLine="480" w:firstLineChars="200"/>
        <w:rPr>
          <w:rFonts w:ascii="宋体" w:hAnsi="宋体"/>
          <w:sz w:val="24"/>
        </w:rPr>
      </w:pPr>
      <w:r>
        <w:rPr>
          <w:rFonts w:hint="eastAsia" w:ascii="宋体" w:hAnsi="宋体"/>
          <w:sz w:val="24"/>
        </w:rPr>
        <w:t>本标准与现行相关法律、法规、规章及相关标准协调一致。</w:t>
      </w:r>
    </w:p>
    <w:p>
      <w:pPr>
        <w:spacing w:before="156" w:beforeLines="50" w:after="156" w:afterLines="50" w:line="360" w:lineRule="auto"/>
        <w:rPr>
          <w:rFonts w:eastAsia="黑体"/>
          <w:sz w:val="28"/>
          <w:szCs w:val="28"/>
        </w:rPr>
      </w:pPr>
      <w:r>
        <w:rPr>
          <w:rFonts w:eastAsia="黑体"/>
          <w:sz w:val="28"/>
          <w:szCs w:val="28"/>
        </w:rPr>
        <w:t>八、重大分歧</w:t>
      </w:r>
      <w:r>
        <w:rPr>
          <w:rFonts w:hint="eastAsia" w:eastAsia="黑体"/>
          <w:sz w:val="28"/>
          <w:szCs w:val="28"/>
        </w:rPr>
        <w:t>意见</w:t>
      </w:r>
      <w:r>
        <w:rPr>
          <w:rFonts w:eastAsia="黑体"/>
          <w:sz w:val="28"/>
          <w:szCs w:val="28"/>
        </w:rPr>
        <w:t>的处理</w:t>
      </w:r>
      <w:r>
        <w:rPr>
          <w:rFonts w:hint="eastAsia" w:eastAsia="黑体"/>
          <w:sz w:val="28"/>
          <w:szCs w:val="28"/>
        </w:rPr>
        <w:t>经过</w:t>
      </w:r>
      <w:r>
        <w:rPr>
          <w:rFonts w:eastAsia="黑体"/>
          <w:sz w:val="28"/>
          <w:szCs w:val="28"/>
        </w:rPr>
        <w:t>和依据</w:t>
      </w:r>
    </w:p>
    <w:p>
      <w:pPr>
        <w:spacing w:line="360" w:lineRule="auto"/>
        <w:ind w:firstLine="480" w:firstLineChars="200"/>
        <w:rPr>
          <w:sz w:val="24"/>
        </w:rPr>
      </w:pPr>
      <w:r>
        <w:rPr>
          <w:rFonts w:hint="eastAsia"/>
          <w:sz w:val="24"/>
        </w:rPr>
        <w:t>无。</w:t>
      </w:r>
    </w:p>
    <w:p>
      <w:pPr>
        <w:adjustRightInd w:val="0"/>
        <w:snapToGrid w:val="0"/>
        <w:spacing w:before="156" w:beforeLines="50" w:after="156" w:afterLines="50" w:line="360" w:lineRule="auto"/>
        <w:jc w:val="left"/>
        <w:rPr>
          <w:rFonts w:eastAsia="黑体"/>
          <w:kern w:val="0"/>
          <w:sz w:val="28"/>
          <w:szCs w:val="28"/>
        </w:rPr>
      </w:pPr>
      <w:r>
        <w:rPr>
          <w:rFonts w:eastAsia="黑体"/>
          <w:kern w:val="0"/>
          <w:sz w:val="28"/>
          <w:szCs w:val="28"/>
        </w:rPr>
        <w:t>九、 标准性质的建议说明</w:t>
      </w:r>
    </w:p>
    <w:p>
      <w:pPr>
        <w:adjustRightInd w:val="0"/>
        <w:snapToGrid w:val="0"/>
        <w:spacing w:before="156" w:beforeLines="50" w:after="156" w:afterLines="50" w:line="360" w:lineRule="auto"/>
        <w:ind w:firstLine="480" w:firstLineChars="200"/>
        <w:jc w:val="left"/>
        <w:rPr>
          <w:rFonts w:ascii="宋体" w:hAnsi="宋体"/>
          <w:kern w:val="0"/>
          <w:sz w:val="24"/>
        </w:rPr>
      </w:pPr>
      <w:r>
        <w:rPr>
          <w:rFonts w:hint="eastAsia" w:ascii="宋体" w:hAnsi="宋体"/>
          <w:kern w:val="0"/>
          <w:sz w:val="24"/>
        </w:rPr>
        <w:t>建议本标准的性质为推荐性团体标准。</w:t>
      </w:r>
    </w:p>
    <w:p>
      <w:pPr>
        <w:tabs>
          <w:tab w:val="left" w:pos="720"/>
          <w:tab w:val="left" w:pos="1559"/>
          <w:tab w:val="left" w:pos="3389"/>
          <w:tab w:val="left" w:pos="5328"/>
          <w:tab w:val="left" w:pos="6770"/>
          <w:tab w:val="left" w:pos="8320"/>
          <w:tab w:val="left" w:pos="9870"/>
          <w:tab w:val="left" w:pos="11420"/>
          <w:tab w:val="left" w:pos="13379"/>
        </w:tabs>
        <w:spacing w:before="156" w:beforeLines="50" w:after="156" w:afterLines="50" w:line="360" w:lineRule="auto"/>
        <w:rPr>
          <w:rFonts w:eastAsia="黑体"/>
          <w:kern w:val="0"/>
          <w:sz w:val="28"/>
          <w:szCs w:val="28"/>
        </w:rPr>
      </w:pPr>
      <w:r>
        <w:rPr>
          <w:rFonts w:hint="eastAsia" w:eastAsia="黑体"/>
          <w:kern w:val="0"/>
          <w:sz w:val="28"/>
          <w:szCs w:val="28"/>
        </w:rPr>
        <w:t>十、贯彻标准的要求和措施建议</w:t>
      </w:r>
    </w:p>
    <w:p>
      <w:pPr>
        <w:tabs>
          <w:tab w:val="left" w:pos="720"/>
          <w:tab w:val="left" w:pos="1559"/>
          <w:tab w:val="left" w:pos="3389"/>
          <w:tab w:val="left" w:pos="5328"/>
          <w:tab w:val="left" w:pos="6770"/>
          <w:tab w:val="left" w:pos="8320"/>
          <w:tab w:val="left" w:pos="9870"/>
          <w:tab w:val="left" w:pos="11420"/>
          <w:tab w:val="left" w:pos="13379"/>
        </w:tabs>
        <w:spacing w:line="360" w:lineRule="auto"/>
        <w:ind w:firstLine="480" w:firstLineChars="200"/>
        <w:rPr>
          <w:rFonts w:ascii="宋体" w:hAnsi="宋体"/>
          <w:kern w:val="0"/>
          <w:sz w:val="24"/>
        </w:rPr>
      </w:pPr>
      <w:r>
        <w:rPr>
          <w:rFonts w:hint="eastAsia" w:ascii="宋体" w:hAnsi="宋体"/>
          <w:kern w:val="0"/>
          <w:sz w:val="24"/>
        </w:rPr>
        <w:t>建议本标准批准发布</w:t>
      </w:r>
      <w:r>
        <w:rPr>
          <w:rFonts w:hint="eastAsia" w:ascii="宋体" w:hAnsi="宋体"/>
          <w:kern w:val="0"/>
          <w:sz w:val="24"/>
          <w:lang w:val="en-US" w:eastAsia="zh-CN"/>
        </w:rPr>
        <w:t>之日起</w:t>
      </w:r>
      <w:r>
        <w:rPr>
          <w:rFonts w:hint="eastAsia" w:ascii="宋体" w:hAnsi="宋体"/>
          <w:kern w:val="0"/>
          <w:sz w:val="24"/>
        </w:rPr>
        <w:t>实施。</w:t>
      </w:r>
    </w:p>
    <w:p>
      <w:pPr>
        <w:tabs>
          <w:tab w:val="left" w:pos="720"/>
          <w:tab w:val="left" w:pos="1559"/>
          <w:tab w:val="left" w:pos="3389"/>
          <w:tab w:val="left" w:pos="5328"/>
          <w:tab w:val="left" w:pos="6770"/>
          <w:tab w:val="left" w:pos="8320"/>
          <w:tab w:val="left" w:pos="9870"/>
          <w:tab w:val="left" w:pos="11420"/>
          <w:tab w:val="left" w:pos="13379"/>
        </w:tabs>
        <w:spacing w:line="360" w:lineRule="auto"/>
        <w:ind w:firstLine="480" w:firstLineChars="200"/>
        <w:rPr>
          <w:rFonts w:ascii="宋体" w:hAnsi="宋体"/>
          <w:kern w:val="0"/>
          <w:sz w:val="24"/>
        </w:rPr>
      </w:pPr>
      <w:r>
        <w:rPr>
          <w:rFonts w:hint="eastAsia" w:ascii="宋体" w:hAnsi="宋体"/>
          <w:kern w:val="0"/>
          <w:sz w:val="24"/>
        </w:rPr>
        <w:t>标准发布后由</w:t>
      </w:r>
      <w:r>
        <w:rPr>
          <w:rFonts w:hint="eastAsia" w:ascii="宋体" w:hAnsi="宋体"/>
          <w:kern w:val="0"/>
          <w:sz w:val="24"/>
          <w:lang w:val="en-US" w:eastAsia="zh-CN"/>
        </w:rPr>
        <w:t>深圳市宝联珠宝标准与信息技术促进中心</w:t>
      </w:r>
      <w:r>
        <w:rPr>
          <w:rFonts w:hint="eastAsia" w:ascii="宋体" w:hAnsi="宋体"/>
          <w:kern w:val="0"/>
          <w:sz w:val="24"/>
        </w:rPr>
        <w:t>组织、主要起草单位全力配合进行全行业宣贯。</w:t>
      </w:r>
    </w:p>
    <w:p>
      <w:pPr>
        <w:spacing w:before="156" w:beforeLines="50" w:after="156" w:afterLines="50" w:line="360" w:lineRule="auto"/>
        <w:rPr>
          <w:rFonts w:eastAsia="黑体"/>
          <w:sz w:val="28"/>
          <w:szCs w:val="28"/>
        </w:rPr>
      </w:pPr>
      <w:r>
        <w:rPr>
          <w:rFonts w:eastAsia="黑体"/>
          <w:kern w:val="0"/>
          <w:sz w:val="28"/>
          <w:szCs w:val="28"/>
        </w:rPr>
        <w:t>十一、废止现行相关标准的建议</w:t>
      </w:r>
    </w:p>
    <w:p>
      <w:pPr>
        <w:spacing w:line="360" w:lineRule="auto"/>
        <w:ind w:firstLine="480" w:firstLineChars="200"/>
        <w:rPr>
          <w:sz w:val="24"/>
        </w:rPr>
      </w:pPr>
      <w:r>
        <w:rPr>
          <w:sz w:val="24"/>
        </w:rPr>
        <w:t>无。</w:t>
      </w:r>
    </w:p>
    <w:p>
      <w:pPr>
        <w:spacing w:before="156" w:beforeLines="50" w:after="156" w:afterLines="50" w:line="360" w:lineRule="auto"/>
        <w:rPr>
          <w:rFonts w:eastAsia="黑体"/>
          <w:kern w:val="0"/>
          <w:sz w:val="28"/>
          <w:szCs w:val="28"/>
        </w:rPr>
      </w:pPr>
      <w:r>
        <w:rPr>
          <w:rFonts w:eastAsia="黑体"/>
          <w:sz w:val="28"/>
          <w:szCs w:val="28"/>
        </w:rPr>
        <w:t>十二、</w:t>
      </w:r>
      <w:r>
        <w:rPr>
          <w:rFonts w:eastAsia="黑体"/>
          <w:kern w:val="0"/>
          <w:sz w:val="28"/>
          <w:szCs w:val="28"/>
        </w:rPr>
        <w:t>其它应予说明的事项</w:t>
      </w:r>
    </w:p>
    <w:p>
      <w:pPr>
        <w:spacing w:before="62" w:beforeLines="20" w:after="62" w:afterLines="20" w:line="360" w:lineRule="auto"/>
        <w:ind w:firstLine="480" w:firstLineChars="200"/>
        <w:rPr>
          <w:rFonts w:ascii="宋体" w:hAnsi="宋体"/>
          <w:kern w:val="0"/>
          <w:sz w:val="24"/>
        </w:rPr>
      </w:pPr>
      <w:r>
        <w:rPr>
          <w:rFonts w:hint="eastAsia" w:ascii="宋体" w:hAnsi="宋体"/>
          <w:sz w:val="24"/>
        </w:rPr>
        <w:t>无</w:t>
      </w:r>
    </w:p>
    <w:sectPr>
      <w:footerReference r:id="rId5" w:type="first"/>
      <w:footerReference r:id="rId3" w:type="default"/>
      <w:footerReference r:id="rId4" w:type="even"/>
      <w:pgSz w:w="11906" w:h="16838"/>
      <w:pgMar w:top="1440" w:right="1800" w:bottom="1440" w:left="1800"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 xml:space="preserve">                                                                                   </w:t>
    </w:r>
    <w:r>
      <w:fldChar w:fldCharType="begin"/>
    </w:r>
    <w:r>
      <w:rPr>
        <w:rStyle w:val="9"/>
      </w:rPr>
      <w:instrText xml:space="preserve"> PAGE </w:instrText>
    </w:r>
    <w:r>
      <w:fldChar w:fldCharType="separate"/>
    </w:r>
    <w:r>
      <w:rPr>
        <w:rStyle w:val="9"/>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 xml:space="preserve">                                                                                  </w:t>
    </w:r>
    <w:r>
      <w:fldChar w:fldCharType="begin"/>
    </w:r>
    <w:r>
      <w:rPr>
        <w:rStyle w:val="9"/>
      </w:rPr>
      <w:instrText xml:space="preserve"> PAGE </w:instrText>
    </w:r>
    <w:r>
      <w:fldChar w:fldCharType="separate"/>
    </w:r>
    <w:r>
      <w:rPr>
        <w:rStyle w:val="9"/>
      </w:rPr>
      <w:t>1</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612B68"/>
    <w:multiLevelType w:val="multilevel"/>
    <w:tmpl w:val="38612B68"/>
    <w:lvl w:ilvl="0" w:tentative="0">
      <w:start w:val="1"/>
      <w:numFmt w:val="japaneseCounting"/>
      <w:lvlText w:val="%1、"/>
      <w:lvlJc w:val="left"/>
      <w:pPr>
        <w:tabs>
          <w:tab w:val="left" w:pos="720"/>
        </w:tabs>
        <w:ind w:left="720" w:hanging="720"/>
      </w:pPr>
      <w:rPr>
        <w:rFonts w:hint="default"/>
      </w:rPr>
    </w:lvl>
    <w:lvl w:ilvl="1" w:tentative="0">
      <w:start w:val="1"/>
      <w:numFmt w:val="decimal"/>
      <w:lvlText w:val="%2."/>
      <w:lvlJc w:val="left"/>
      <w:pPr>
        <w:tabs>
          <w:tab w:val="left" w:pos="780"/>
        </w:tabs>
        <w:ind w:left="780" w:hanging="360"/>
      </w:pPr>
      <w:rPr>
        <w:rFonts w:hint="default"/>
      </w:rPr>
    </w:lvl>
    <w:lvl w:ilvl="2" w:tentative="0">
      <w:start w:val="1"/>
      <w:numFmt w:val="decimal"/>
      <w:lvlText w:val="%3．"/>
      <w:lvlJc w:val="left"/>
      <w:pPr>
        <w:tabs>
          <w:tab w:val="left" w:pos="720"/>
        </w:tabs>
        <w:ind w:left="720" w:hanging="360"/>
      </w:pPr>
      <w:rPr>
        <w:rFonts w:hint="default"/>
      </w:rPr>
    </w:lvl>
    <w:lvl w:ilvl="3" w:tentative="0">
      <w:start w:val="1"/>
      <w:numFmt w:val="decimal"/>
      <w:lvlText w:val="%4、"/>
      <w:lvlJc w:val="left"/>
      <w:pPr>
        <w:tabs>
          <w:tab w:val="left" w:pos="1620"/>
        </w:tabs>
        <w:ind w:left="1620" w:hanging="36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lkNWNlM2E0YjlmZjg3NjQwNGQ5MDM0NjNiYmM0YWUifQ=="/>
  </w:docVars>
  <w:rsids>
    <w:rsidRoot w:val="003C308D"/>
    <w:rsid w:val="00001E93"/>
    <w:rsid w:val="000048F2"/>
    <w:rsid w:val="000050F1"/>
    <w:rsid w:val="0000541F"/>
    <w:rsid w:val="00010710"/>
    <w:rsid w:val="00017DD7"/>
    <w:rsid w:val="00020973"/>
    <w:rsid w:val="00021B64"/>
    <w:rsid w:val="00021B71"/>
    <w:rsid w:val="000259E5"/>
    <w:rsid w:val="00031172"/>
    <w:rsid w:val="000339A3"/>
    <w:rsid w:val="00034A40"/>
    <w:rsid w:val="0004121A"/>
    <w:rsid w:val="00042BEC"/>
    <w:rsid w:val="0004648E"/>
    <w:rsid w:val="00054F88"/>
    <w:rsid w:val="000573FF"/>
    <w:rsid w:val="00060D11"/>
    <w:rsid w:val="000633F1"/>
    <w:rsid w:val="00063838"/>
    <w:rsid w:val="0007491E"/>
    <w:rsid w:val="00074F74"/>
    <w:rsid w:val="0008120C"/>
    <w:rsid w:val="00083659"/>
    <w:rsid w:val="00086590"/>
    <w:rsid w:val="0009360A"/>
    <w:rsid w:val="00096886"/>
    <w:rsid w:val="000A2961"/>
    <w:rsid w:val="000B09B2"/>
    <w:rsid w:val="000B20D2"/>
    <w:rsid w:val="000C76E8"/>
    <w:rsid w:val="000D0810"/>
    <w:rsid w:val="000D6E5E"/>
    <w:rsid w:val="000E127F"/>
    <w:rsid w:val="00114AF8"/>
    <w:rsid w:val="00115482"/>
    <w:rsid w:val="0012299A"/>
    <w:rsid w:val="0012677D"/>
    <w:rsid w:val="001347C6"/>
    <w:rsid w:val="001352E7"/>
    <w:rsid w:val="0013766C"/>
    <w:rsid w:val="00137A52"/>
    <w:rsid w:val="00140CD3"/>
    <w:rsid w:val="00151182"/>
    <w:rsid w:val="00151E79"/>
    <w:rsid w:val="00155BEC"/>
    <w:rsid w:val="00155F57"/>
    <w:rsid w:val="00157C15"/>
    <w:rsid w:val="001615D4"/>
    <w:rsid w:val="00162F52"/>
    <w:rsid w:val="00166481"/>
    <w:rsid w:val="00172EC2"/>
    <w:rsid w:val="00176AF5"/>
    <w:rsid w:val="00177CF9"/>
    <w:rsid w:val="00186222"/>
    <w:rsid w:val="00192D83"/>
    <w:rsid w:val="001A193B"/>
    <w:rsid w:val="001A2E47"/>
    <w:rsid w:val="001A4786"/>
    <w:rsid w:val="001A6303"/>
    <w:rsid w:val="001A792E"/>
    <w:rsid w:val="001C2D13"/>
    <w:rsid w:val="001C77EF"/>
    <w:rsid w:val="001D1C74"/>
    <w:rsid w:val="001D30E9"/>
    <w:rsid w:val="001E55E0"/>
    <w:rsid w:val="001E69AB"/>
    <w:rsid w:val="002012F6"/>
    <w:rsid w:val="002023D8"/>
    <w:rsid w:val="00203A23"/>
    <w:rsid w:val="00207BEC"/>
    <w:rsid w:val="00212AC3"/>
    <w:rsid w:val="00217E8E"/>
    <w:rsid w:val="00221594"/>
    <w:rsid w:val="00222EB7"/>
    <w:rsid w:val="00223BA5"/>
    <w:rsid w:val="002350A2"/>
    <w:rsid w:val="0023765F"/>
    <w:rsid w:val="00243A3C"/>
    <w:rsid w:val="002507A7"/>
    <w:rsid w:val="00250BDC"/>
    <w:rsid w:val="0025299B"/>
    <w:rsid w:val="002534F4"/>
    <w:rsid w:val="0027200B"/>
    <w:rsid w:val="00276EEE"/>
    <w:rsid w:val="002778E1"/>
    <w:rsid w:val="00283F75"/>
    <w:rsid w:val="00284E0C"/>
    <w:rsid w:val="00285DB4"/>
    <w:rsid w:val="0029004F"/>
    <w:rsid w:val="00294046"/>
    <w:rsid w:val="00295491"/>
    <w:rsid w:val="002A1184"/>
    <w:rsid w:val="002A7DF1"/>
    <w:rsid w:val="002B0975"/>
    <w:rsid w:val="002B2EC4"/>
    <w:rsid w:val="002E0BDA"/>
    <w:rsid w:val="002F477E"/>
    <w:rsid w:val="002F6397"/>
    <w:rsid w:val="0030270A"/>
    <w:rsid w:val="00312491"/>
    <w:rsid w:val="0031252F"/>
    <w:rsid w:val="003161F7"/>
    <w:rsid w:val="0033344F"/>
    <w:rsid w:val="003604E6"/>
    <w:rsid w:val="00360663"/>
    <w:rsid w:val="003608A5"/>
    <w:rsid w:val="00366948"/>
    <w:rsid w:val="00377209"/>
    <w:rsid w:val="00377421"/>
    <w:rsid w:val="003806E8"/>
    <w:rsid w:val="00384C3E"/>
    <w:rsid w:val="00385B92"/>
    <w:rsid w:val="00387949"/>
    <w:rsid w:val="00395082"/>
    <w:rsid w:val="003A40C6"/>
    <w:rsid w:val="003A41D3"/>
    <w:rsid w:val="003A735D"/>
    <w:rsid w:val="003C2F57"/>
    <w:rsid w:val="003C308D"/>
    <w:rsid w:val="003D1576"/>
    <w:rsid w:val="003D1AB9"/>
    <w:rsid w:val="003D7048"/>
    <w:rsid w:val="003D738C"/>
    <w:rsid w:val="003E03E6"/>
    <w:rsid w:val="003E67C9"/>
    <w:rsid w:val="003F067A"/>
    <w:rsid w:val="00400D09"/>
    <w:rsid w:val="00400EF7"/>
    <w:rsid w:val="00404C75"/>
    <w:rsid w:val="00423CE0"/>
    <w:rsid w:val="00424CB9"/>
    <w:rsid w:val="00444FBB"/>
    <w:rsid w:val="00447813"/>
    <w:rsid w:val="004713C9"/>
    <w:rsid w:val="004721EA"/>
    <w:rsid w:val="004753A4"/>
    <w:rsid w:val="004839FF"/>
    <w:rsid w:val="004863D4"/>
    <w:rsid w:val="00493355"/>
    <w:rsid w:val="00496EAD"/>
    <w:rsid w:val="00496FC1"/>
    <w:rsid w:val="004A2B03"/>
    <w:rsid w:val="004C520C"/>
    <w:rsid w:val="004C6B97"/>
    <w:rsid w:val="004D5CD3"/>
    <w:rsid w:val="004D6B28"/>
    <w:rsid w:val="004E0A2B"/>
    <w:rsid w:val="004E117B"/>
    <w:rsid w:val="004E1748"/>
    <w:rsid w:val="004E3B15"/>
    <w:rsid w:val="004E6838"/>
    <w:rsid w:val="004E79D9"/>
    <w:rsid w:val="00500D20"/>
    <w:rsid w:val="00500E5F"/>
    <w:rsid w:val="00501A43"/>
    <w:rsid w:val="00501F7F"/>
    <w:rsid w:val="00505063"/>
    <w:rsid w:val="005057FC"/>
    <w:rsid w:val="00512042"/>
    <w:rsid w:val="00514942"/>
    <w:rsid w:val="00515D43"/>
    <w:rsid w:val="00525D2A"/>
    <w:rsid w:val="00535D18"/>
    <w:rsid w:val="00542AEC"/>
    <w:rsid w:val="00556D72"/>
    <w:rsid w:val="00560819"/>
    <w:rsid w:val="00563AA6"/>
    <w:rsid w:val="00563F04"/>
    <w:rsid w:val="00571507"/>
    <w:rsid w:val="00577CE2"/>
    <w:rsid w:val="005A5172"/>
    <w:rsid w:val="005B59E4"/>
    <w:rsid w:val="005C1C5E"/>
    <w:rsid w:val="005C204A"/>
    <w:rsid w:val="005C562A"/>
    <w:rsid w:val="005C6180"/>
    <w:rsid w:val="005C6305"/>
    <w:rsid w:val="005C70DA"/>
    <w:rsid w:val="005C7C6B"/>
    <w:rsid w:val="005D5FD3"/>
    <w:rsid w:val="005D60AE"/>
    <w:rsid w:val="005D714F"/>
    <w:rsid w:val="005E3F2E"/>
    <w:rsid w:val="005E54AA"/>
    <w:rsid w:val="005E7E94"/>
    <w:rsid w:val="005F0B07"/>
    <w:rsid w:val="005F6CBA"/>
    <w:rsid w:val="00603FDD"/>
    <w:rsid w:val="00636697"/>
    <w:rsid w:val="00654BAC"/>
    <w:rsid w:val="00660049"/>
    <w:rsid w:val="00665F99"/>
    <w:rsid w:val="0067341F"/>
    <w:rsid w:val="006813CD"/>
    <w:rsid w:val="0069029D"/>
    <w:rsid w:val="006A3FCD"/>
    <w:rsid w:val="006A45DF"/>
    <w:rsid w:val="006A6EA4"/>
    <w:rsid w:val="006B27E2"/>
    <w:rsid w:val="006B3690"/>
    <w:rsid w:val="006C5729"/>
    <w:rsid w:val="006C7623"/>
    <w:rsid w:val="006D06CB"/>
    <w:rsid w:val="006D0E1F"/>
    <w:rsid w:val="006D4860"/>
    <w:rsid w:val="006D6B60"/>
    <w:rsid w:val="006D6DC2"/>
    <w:rsid w:val="006E6A30"/>
    <w:rsid w:val="006E74AD"/>
    <w:rsid w:val="006E77BA"/>
    <w:rsid w:val="006F312D"/>
    <w:rsid w:val="00707D91"/>
    <w:rsid w:val="007107CD"/>
    <w:rsid w:val="00717417"/>
    <w:rsid w:val="00731F8B"/>
    <w:rsid w:val="00736D53"/>
    <w:rsid w:val="00742A72"/>
    <w:rsid w:val="00743C67"/>
    <w:rsid w:val="00743F95"/>
    <w:rsid w:val="007527C5"/>
    <w:rsid w:val="00752CB2"/>
    <w:rsid w:val="007532C3"/>
    <w:rsid w:val="0076111F"/>
    <w:rsid w:val="00763AD2"/>
    <w:rsid w:val="00770107"/>
    <w:rsid w:val="007725A4"/>
    <w:rsid w:val="00772BAA"/>
    <w:rsid w:val="00775EAB"/>
    <w:rsid w:val="00780B79"/>
    <w:rsid w:val="00781BC9"/>
    <w:rsid w:val="0078310F"/>
    <w:rsid w:val="00785060"/>
    <w:rsid w:val="00785D31"/>
    <w:rsid w:val="007921B8"/>
    <w:rsid w:val="0079344B"/>
    <w:rsid w:val="00796603"/>
    <w:rsid w:val="00796C58"/>
    <w:rsid w:val="007A2191"/>
    <w:rsid w:val="007A3566"/>
    <w:rsid w:val="007A3E74"/>
    <w:rsid w:val="007B3EC4"/>
    <w:rsid w:val="007B6806"/>
    <w:rsid w:val="007C0294"/>
    <w:rsid w:val="007C4C84"/>
    <w:rsid w:val="007C5AF3"/>
    <w:rsid w:val="007E069B"/>
    <w:rsid w:val="007E3747"/>
    <w:rsid w:val="007E4E80"/>
    <w:rsid w:val="007E6A64"/>
    <w:rsid w:val="007E7BAC"/>
    <w:rsid w:val="007F087E"/>
    <w:rsid w:val="007F452C"/>
    <w:rsid w:val="007F6EEC"/>
    <w:rsid w:val="00804F8F"/>
    <w:rsid w:val="008050B6"/>
    <w:rsid w:val="008108B0"/>
    <w:rsid w:val="00812BD9"/>
    <w:rsid w:val="008159CE"/>
    <w:rsid w:val="008245C4"/>
    <w:rsid w:val="008252DF"/>
    <w:rsid w:val="008257BC"/>
    <w:rsid w:val="0083219A"/>
    <w:rsid w:val="008450C5"/>
    <w:rsid w:val="00847C1B"/>
    <w:rsid w:val="00852420"/>
    <w:rsid w:val="00854312"/>
    <w:rsid w:val="00863F4C"/>
    <w:rsid w:val="00865D12"/>
    <w:rsid w:val="008803A4"/>
    <w:rsid w:val="00881705"/>
    <w:rsid w:val="0088753E"/>
    <w:rsid w:val="008915CD"/>
    <w:rsid w:val="0089748E"/>
    <w:rsid w:val="008A1D67"/>
    <w:rsid w:val="008A4E15"/>
    <w:rsid w:val="008B1945"/>
    <w:rsid w:val="008B484A"/>
    <w:rsid w:val="008B4D8B"/>
    <w:rsid w:val="008D165B"/>
    <w:rsid w:val="008D41D7"/>
    <w:rsid w:val="008E2775"/>
    <w:rsid w:val="008E583D"/>
    <w:rsid w:val="008F423F"/>
    <w:rsid w:val="008F6BB6"/>
    <w:rsid w:val="00900B84"/>
    <w:rsid w:val="0092265D"/>
    <w:rsid w:val="0093290A"/>
    <w:rsid w:val="009368F5"/>
    <w:rsid w:val="00957C95"/>
    <w:rsid w:val="009652B4"/>
    <w:rsid w:val="00965339"/>
    <w:rsid w:val="009656A3"/>
    <w:rsid w:val="0097717F"/>
    <w:rsid w:val="00982257"/>
    <w:rsid w:val="0098522F"/>
    <w:rsid w:val="00985FFA"/>
    <w:rsid w:val="00997089"/>
    <w:rsid w:val="009A633C"/>
    <w:rsid w:val="009C220A"/>
    <w:rsid w:val="009C5418"/>
    <w:rsid w:val="009D2F38"/>
    <w:rsid w:val="009E5E65"/>
    <w:rsid w:val="009E6B23"/>
    <w:rsid w:val="009F03ED"/>
    <w:rsid w:val="009F106E"/>
    <w:rsid w:val="009F29EE"/>
    <w:rsid w:val="00A01499"/>
    <w:rsid w:val="00A042AE"/>
    <w:rsid w:val="00A11796"/>
    <w:rsid w:val="00A14B7E"/>
    <w:rsid w:val="00A159AE"/>
    <w:rsid w:val="00A16185"/>
    <w:rsid w:val="00A218FE"/>
    <w:rsid w:val="00A22587"/>
    <w:rsid w:val="00A242EC"/>
    <w:rsid w:val="00A324FB"/>
    <w:rsid w:val="00A42CE1"/>
    <w:rsid w:val="00A44340"/>
    <w:rsid w:val="00A50390"/>
    <w:rsid w:val="00A51987"/>
    <w:rsid w:val="00A60D33"/>
    <w:rsid w:val="00A677DF"/>
    <w:rsid w:val="00A67CC1"/>
    <w:rsid w:val="00A67E75"/>
    <w:rsid w:val="00A80811"/>
    <w:rsid w:val="00A8556F"/>
    <w:rsid w:val="00A90665"/>
    <w:rsid w:val="00A9349C"/>
    <w:rsid w:val="00AA13BB"/>
    <w:rsid w:val="00AA2577"/>
    <w:rsid w:val="00AA791F"/>
    <w:rsid w:val="00AB5DBC"/>
    <w:rsid w:val="00AC27D9"/>
    <w:rsid w:val="00AC42C7"/>
    <w:rsid w:val="00AC54BE"/>
    <w:rsid w:val="00AD0DC0"/>
    <w:rsid w:val="00AD1805"/>
    <w:rsid w:val="00AD1FB3"/>
    <w:rsid w:val="00AD509E"/>
    <w:rsid w:val="00AD51B6"/>
    <w:rsid w:val="00AD5847"/>
    <w:rsid w:val="00AD6503"/>
    <w:rsid w:val="00AD76BE"/>
    <w:rsid w:val="00AE1DA5"/>
    <w:rsid w:val="00AE2124"/>
    <w:rsid w:val="00AE6F74"/>
    <w:rsid w:val="00AF27FF"/>
    <w:rsid w:val="00AF6623"/>
    <w:rsid w:val="00B002BE"/>
    <w:rsid w:val="00B101F7"/>
    <w:rsid w:val="00B11672"/>
    <w:rsid w:val="00B17DA9"/>
    <w:rsid w:val="00B218C9"/>
    <w:rsid w:val="00B22362"/>
    <w:rsid w:val="00B24ED5"/>
    <w:rsid w:val="00B458CB"/>
    <w:rsid w:val="00B54C67"/>
    <w:rsid w:val="00B55DB4"/>
    <w:rsid w:val="00B561CF"/>
    <w:rsid w:val="00B712AD"/>
    <w:rsid w:val="00B82079"/>
    <w:rsid w:val="00B82B8A"/>
    <w:rsid w:val="00B93992"/>
    <w:rsid w:val="00B94305"/>
    <w:rsid w:val="00BA01E6"/>
    <w:rsid w:val="00BA5DF1"/>
    <w:rsid w:val="00BA6D18"/>
    <w:rsid w:val="00BB1C46"/>
    <w:rsid w:val="00BB260F"/>
    <w:rsid w:val="00BC2838"/>
    <w:rsid w:val="00BC312D"/>
    <w:rsid w:val="00BC59E0"/>
    <w:rsid w:val="00BC5FCE"/>
    <w:rsid w:val="00BC68E7"/>
    <w:rsid w:val="00BC757B"/>
    <w:rsid w:val="00BD02AB"/>
    <w:rsid w:val="00BD2178"/>
    <w:rsid w:val="00BE414C"/>
    <w:rsid w:val="00BE7A3A"/>
    <w:rsid w:val="00BF0026"/>
    <w:rsid w:val="00C00A2F"/>
    <w:rsid w:val="00C01DB7"/>
    <w:rsid w:val="00C03632"/>
    <w:rsid w:val="00C04E38"/>
    <w:rsid w:val="00C062AD"/>
    <w:rsid w:val="00C1049A"/>
    <w:rsid w:val="00C20D4E"/>
    <w:rsid w:val="00C217F8"/>
    <w:rsid w:val="00C25444"/>
    <w:rsid w:val="00C262E7"/>
    <w:rsid w:val="00C323D5"/>
    <w:rsid w:val="00C337C3"/>
    <w:rsid w:val="00C35BFB"/>
    <w:rsid w:val="00C42FCA"/>
    <w:rsid w:val="00C44FC0"/>
    <w:rsid w:val="00C47605"/>
    <w:rsid w:val="00C5105D"/>
    <w:rsid w:val="00C5392B"/>
    <w:rsid w:val="00C53A0E"/>
    <w:rsid w:val="00C54456"/>
    <w:rsid w:val="00C56B93"/>
    <w:rsid w:val="00C6329B"/>
    <w:rsid w:val="00C6693F"/>
    <w:rsid w:val="00C7799F"/>
    <w:rsid w:val="00C80797"/>
    <w:rsid w:val="00C8410B"/>
    <w:rsid w:val="00C852D5"/>
    <w:rsid w:val="00C90F43"/>
    <w:rsid w:val="00C93639"/>
    <w:rsid w:val="00C936E5"/>
    <w:rsid w:val="00CA63A5"/>
    <w:rsid w:val="00CB27DF"/>
    <w:rsid w:val="00CB5A01"/>
    <w:rsid w:val="00CC675D"/>
    <w:rsid w:val="00CD098F"/>
    <w:rsid w:val="00CD1158"/>
    <w:rsid w:val="00CD72C1"/>
    <w:rsid w:val="00CE040D"/>
    <w:rsid w:val="00CE3582"/>
    <w:rsid w:val="00CE488A"/>
    <w:rsid w:val="00CE6468"/>
    <w:rsid w:val="00CE69BA"/>
    <w:rsid w:val="00CF03A0"/>
    <w:rsid w:val="00CF455E"/>
    <w:rsid w:val="00D02B35"/>
    <w:rsid w:val="00D02F3E"/>
    <w:rsid w:val="00D0396F"/>
    <w:rsid w:val="00D03BEF"/>
    <w:rsid w:val="00D1214F"/>
    <w:rsid w:val="00D12A15"/>
    <w:rsid w:val="00D15BFE"/>
    <w:rsid w:val="00D23235"/>
    <w:rsid w:val="00D431E5"/>
    <w:rsid w:val="00D4445C"/>
    <w:rsid w:val="00D47761"/>
    <w:rsid w:val="00D52307"/>
    <w:rsid w:val="00D53463"/>
    <w:rsid w:val="00D57AE9"/>
    <w:rsid w:val="00D71347"/>
    <w:rsid w:val="00D73022"/>
    <w:rsid w:val="00D81E4D"/>
    <w:rsid w:val="00D93BE0"/>
    <w:rsid w:val="00D958C2"/>
    <w:rsid w:val="00DA4C07"/>
    <w:rsid w:val="00DA722D"/>
    <w:rsid w:val="00DB4127"/>
    <w:rsid w:val="00DC069B"/>
    <w:rsid w:val="00DC3CDB"/>
    <w:rsid w:val="00DD39E5"/>
    <w:rsid w:val="00E032B5"/>
    <w:rsid w:val="00E0409A"/>
    <w:rsid w:val="00E22A2E"/>
    <w:rsid w:val="00E261B6"/>
    <w:rsid w:val="00E33FC0"/>
    <w:rsid w:val="00E3660B"/>
    <w:rsid w:val="00E528EE"/>
    <w:rsid w:val="00E53717"/>
    <w:rsid w:val="00E6225C"/>
    <w:rsid w:val="00E80FC6"/>
    <w:rsid w:val="00E84F54"/>
    <w:rsid w:val="00E9153C"/>
    <w:rsid w:val="00EA3046"/>
    <w:rsid w:val="00EB1BA3"/>
    <w:rsid w:val="00EB6677"/>
    <w:rsid w:val="00EB6DB0"/>
    <w:rsid w:val="00EC2C85"/>
    <w:rsid w:val="00EC31BF"/>
    <w:rsid w:val="00EC4D5E"/>
    <w:rsid w:val="00ED401D"/>
    <w:rsid w:val="00ED4DB5"/>
    <w:rsid w:val="00ED51A5"/>
    <w:rsid w:val="00EE00B8"/>
    <w:rsid w:val="00EE6BFA"/>
    <w:rsid w:val="00EF228C"/>
    <w:rsid w:val="00F02E1B"/>
    <w:rsid w:val="00F05168"/>
    <w:rsid w:val="00F10F13"/>
    <w:rsid w:val="00F17C4E"/>
    <w:rsid w:val="00F24E32"/>
    <w:rsid w:val="00F41AB0"/>
    <w:rsid w:val="00F45C84"/>
    <w:rsid w:val="00F541B9"/>
    <w:rsid w:val="00F56FA9"/>
    <w:rsid w:val="00F62BC7"/>
    <w:rsid w:val="00F65916"/>
    <w:rsid w:val="00F665DD"/>
    <w:rsid w:val="00F717CF"/>
    <w:rsid w:val="00F83ED1"/>
    <w:rsid w:val="00F843EA"/>
    <w:rsid w:val="00F866B6"/>
    <w:rsid w:val="00F9438C"/>
    <w:rsid w:val="00F96B47"/>
    <w:rsid w:val="00F97A3B"/>
    <w:rsid w:val="00FA1E50"/>
    <w:rsid w:val="00FA5E40"/>
    <w:rsid w:val="00FB5551"/>
    <w:rsid w:val="00FB7675"/>
    <w:rsid w:val="00FC4AF5"/>
    <w:rsid w:val="00FD0DE8"/>
    <w:rsid w:val="00FD1527"/>
    <w:rsid w:val="00FD22FA"/>
    <w:rsid w:val="00FD3291"/>
    <w:rsid w:val="00FE5E52"/>
    <w:rsid w:val="00FF5C4F"/>
    <w:rsid w:val="01A93DBF"/>
    <w:rsid w:val="02E4100B"/>
    <w:rsid w:val="04D03660"/>
    <w:rsid w:val="062005AC"/>
    <w:rsid w:val="06BA6064"/>
    <w:rsid w:val="086C3A97"/>
    <w:rsid w:val="0C5A3C30"/>
    <w:rsid w:val="0E1750FB"/>
    <w:rsid w:val="10017F38"/>
    <w:rsid w:val="10207B26"/>
    <w:rsid w:val="1252110F"/>
    <w:rsid w:val="12DC1876"/>
    <w:rsid w:val="13263868"/>
    <w:rsid w:val="148D1503"/>
    <w:rsid w:val="15A9236C"/>
    <w:rsid w:val="16B42A78"/>
    <w:rsid w:val="180E4708"/>
    <w:rsid w:val="185864A5"/>
    <w:rsid w:val="18AC5CCF"/>
    <w:rsid w:val="18F04FD2"/>
    <w:rsid w:val="18F25DD8"/>
    <w:rsid w:val="19780B7B"/>
    <w:rsid w:val="1AC97036"/>
    <w:rsid w:val="1BF37AAD"/>
    <w:rsid w:val="1EA47B74"/>
    <w:rsid w:val="1F2F25B7"/>
    <w:rsid w:val="21C63DBA"/>
    <w:rsid w:val="222F309E"/>
    <w:rsid w:val="22B473B8"/>
    <w:rsid w:val="23D44B74"/>
    <w:rsid w:val="249B4324"/>
    <w:rsid w:val="25DA2AA8"/>
    <w:rsid w:val="26114D9B"/>
    <w:rsid w:val="27BD1CA7"/>
    <w:rsid w:val="29180221"/>
    <w:rsid w:val="29F37C02"/>
    <w:rsid w:val="2AA1765E"/>
    <w:rsid w:val="2B2362C5"/>
    <w:rsid w:val="2BA233C8"/>
    <w:rsid w:val="2BC87603"/>
    <w:rsid w:val="2E894C6C"/>
    <w:rsid w:val="2EFE3B91"/>
    <w:rsid w:val="31327726"/>
    <w:rsid w:val="31394B39"/>
    <w:rsid w:val="342A6525"/>
    <w:rsid w:val="34425A0E"/>
    <w:rsid w:val="3445423F"/>
    <w:rsid w:val="34BD557C"/>
    <w:rsid w:val="35636A29"/>
    <w:rsid w:val="35784FD2"/>
    <w:rsid w:val="35EB5C31"/>
    <w:rsid w:val="36176A26"/>
    <w:rsid w:val="37B564F7"/>
    <w:rsid w:val="38A87E0A"/>
    <w:rsid w:val="3A661D2A"/>
    <w:rsid w:val="3E190FD5"/>
    <w:rsid w:val="3E2368C2"/>
    <w:rsid w:val="3FA56554"/>
    <w:rsid w:val="40284BE3"/>
    <w:rsid w:val="40462B81"/>
    <w:rsid w:val="411E2251"/>
    <w:rsid w:val="41CE12BB"/>
    <w:rsid w:val="430B346F"/>
    <w:rsid w:val="451736D2"/>
    <w:rsid w:val="4666797E"/>
    <w:rsid w:val="474F411A"/>
    <w:rsid w:val="490911E0"/>
    <w:rsid w:val="4C2A0E0A"/>
    <w:rsid w:val="4C843948"/>
    <w:rsid w:val="4C9A5FDC"/>
    <w:rsid w:val="4E093DCF"/>
    <w:rsid w:val="4FDD4DBF"/>
    <w:rsid w:val="4FE3451C"/>
    <w:rsid w:val="50E33C7D"/>
    <w:rsid w:val="55916288"/>
    <w:rsid w:val="57230361"/>
    <w:rsid w:val="57A852D8"/>
    <w:rsid w:val="59441031"/>
    <w:rsid w:val="5D431D2B"/>
    <w:rsid w:val="5DAF0B7E"/>
    <w:rsid w:val="5E426224"/>
    <w:rsid w:val="60A55485"/>
    <w:rsid w:val="60E2185B"/>
    <w:rsid w:val="61534C01"/>
    <w:rsid w:val="62F972E5"/>
    <w:rsid w:val="63DA786B"/>
    <w:rsid w:val="6448647D"/>
    <w:rsid w:val="64D23548"/>
    <w:rsid w:val="662326FA"/>
    <w:rsid w:val="6A8A71EB"/>
    <w:rsid w:val="6A8C32C1"/>
    <w:rsid w:val="6BE47535"/>
    <w:rsid w:val="6D21350E"/>
    <w:rsid w:val="6FBD3BBF"/>
    <w:rsid w:val="6FC6039D"/>
    <w:rsid w:val="6FD35191"/>
    <w:rsid w:val="7148395C"/>
    <w:rsid w:val="728E1843"/>
    <w:rsid w:val="73C60B68"/>
    <w:rsid w:val="773D3837"/>
    <w:rsid w:val="7AD017AC"/>
    <w:rsid w:val="7B6B1565"/>
    <w:rsid w:val="7BA67F4D"/>
    <w:rsid w:val="7C263C45"/>
    <w:rsid w:val="7C63164A"/>
    <w:rsid w:val="7D5214C2"/>
    <w:rsid w:val="7FF863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Date"/>
    <w:basedOn w:val="1"/>
    <w:next w:val="1"/>
    <w:qFormat/>
    <w:uiPriority w:val="0"/>
    <w:pPr>
      <w:ind w:left="100" w:leftChars="25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First Indent"/>
    <w:basedOn w:val="2"/>
    <w:qFormat/>
    <w:uiPriority w:val="0"/>
    <w:pPr>
      <w:ind w:firstLine="420" w:firstLineChars="100"/>
    </w:pPr>
  </w:style>
  <w:style w:type="character" w:styleId="9">
    <w:name w:val="page number"/>
    <w:basedOn w:val="8"/>
    <w:qFormat/>
    <w:uiPriority w:val="0"/>
  </w:style>
  <w:style w:type="character" w:customStyle="1" w:styleId="10">
    <w:name w:val="answerref"/>
    <w:basedOn w:val="8"/>
    <w:qFormat/>
    <w:uiPriority w:val="0"/>
  </w:style>
  <w:style w:type="paragraph" w:customStyle="1" w:styleId="11">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2">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13">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4">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WWW.YlmF.CoM</Company>
  <Pages>5</Pages>
  <Words>419</Words>
  <Characters>2392</Characters>
  <Lines>19</Lines>
  <Paragraphs>5</Paragraphs>
  <TotalTime>0</TotalTime>
  <ScaleCrop>false</ScaleCrop>
  <LinksUpToDate>false</LinksUpToDate>
  <CharactersWithSpaces>2806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2021-03-16T21:04:00Z</dcterms:created>
  <dc:creator>雨林木风</dc:creator>
  <cp:lastModifiedBy>罗雪莹</cp:lastModifiedBy>
  <cp:lastPrinted>2017-02-20T21:54:00Z</cp:lastPrinted>
  <dcterms:modified xsi:type="dcterms:W3CDTF">2022-12-08T07:55:08Z</dcterms:modified>
  <dc:title>联盟标准《铂、钯饰品合金成分》</dc:title>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E28F36AF634E4C61A15AADB49D699B16</vt:lpwstr>
  </property>
</Properties>
</file>