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正版正货饰品经营服务规范</w:t>
      </w:r>
      <w:r>
        <w:rPr>
          <w:rFonts w:hint="eastAsia" w:ascii="黑体" w:hAnsi="黑体" w:eastAsia="黑体"/>
          <w:sz w:val="32"/>
          <w:szCs w:val="32"/>
        </w:rPr>
        <w:t>》编制说明</w:t>
      </w:r>
    </w:p>
    <w:p>
      <w:pPr>
        <w:numPr>
          <w:ilvl w:val="0"/>
          <w:numId w:val="1"/>
        </w:numPr>
        <w:tabs>
          <w:tab w:val="left" w:pos="540"/>
          <w:tab w:val="clear" w:pos="720"/>
        </w:tabs>
        <w:spacing w:line="360" w:lineRule="auto"/>
        <w:ind w:left="360" w:hanging="360"/>
        <w:rPr>
          <w:rFonts w:ascii="黑体" w:hAnsi="黑体" w:eastAsia="黑体"/>
          <w:sz w:val="28"/>
          <w:szCs w:val="28"/>
        </w:rPr>
      </w:pPr>
      <w:r>
        <w:rPr>
          <w:rFonts w:hint="eastAsia" w:ascii="黑体" w:hAnsi="黑体" w:eastAsia="黑体"/>
          <w:sz w:val="28"/>
          <w:szCs w:val="28"/>
        </w:rPr>
        <w:t>工作概况</w:t>
      </w:r>
    </w:p>
    <w:p>
      <w:pPr>
        <w:spacing w:line="360" w:lineRule="auto"/>
        <w:ind w:firstLine="480" w:firstLineChars="200"/>
        <w:rPr>
          <w:rFonts w:ascii="黑体" w:hAnsi="黑体" w:eastAsia="黑体"/>
          <w:sz w:val="24"/>
        </w:rPr>
      </w:pPr>
      <w:r>
        <w:rPr>
          <w:rFonts w:hint="eastAsia" w:ascii="黑体" w:hAnsi="黑体" w:eastAsia="黑体"/>
          <w:sz w:val="24"/>
        </w:rPr>
        <w:t>1、任务来源</w:t>
      </w:r>
    </w:p>
    <w:p>
      <w:pPr>
        <w:widowControl/>
        <w:spacing w:line="360" w:lineRule="auto"/>
        <w:ind w:firstLine="480" w:firstLineChars="200"/>
        <w:jc w:val="left"/>
        <w:rPr>
          <w:rFonts w:ascii="宋体" w:hAnsi="宋体"/>
          <w:sz w:val="24"/>
        </w:rPr>
      </w:pPr>
      <w:r>
        <w:rPr>
          <w:rFonts w:hint="eastAsia" w:ascii="宋体" w:hAnsi="宋体"/>
          <w:sz w:val="24"/>
          <w:lang w:val="en-US" w:eastAsia="zh-CN"/>
        </w:rPr>
        <w:t>本标准由深圳市宝联珠宝标准与信息技术促进中心提出，按照GB/T 1.1-2020的规定起草。本标准主要起草单位：深圳市罗湖区真品溯源珠宝技术研究院、深圳市溯源质量检测和标准化技术有限公司、深圳市宝联珠宝标准与信息技术促进中心。</w:t>
      </w:r>
    </w:p>
    <w:p>
      <w:pPr>
        <w:spacing w:line="360" w:lineRule="auto"/>
        <w:ind w:left="359" w:leftChars="171" w:firstLine="120" w:firstLineChars="50"/>
        <w:rPr>
          <w:rFonts w:hint="eastAsia" w:ascii="黑体" w:hAnsi="黑体" w:eastAsia="黑体"/>
          <w:sz w:val="24"/>
          <w:lang w:eastAsia="zh-CN"/>
        </w:rPr>
      </w:pPr>
      <w:r>
        <w:rPr>
          <w:rFonts w:hint="eastAsia" w:ascii="黑体" w:hAnsi="黑体" w:eastAsia="黑体"/>
          <w:sz w:val="24"/>
        </w:rPr>
        <w:t>2、主要工作过程</w:t>
      </w:r>
    </w:p>
    <w:p>
      <w:pPr>
        <w:spacing w:line="360" w:lineRule="auto"/>
        <w:ind w:firstLine="480" w:firstLineChars="200"/>
        <w:rPr>
          <w:b w:val="0"/>
          <w:bCs w:val="0"/>
          <w:color w:val="auto"/>
          <w:sz w:val="24"/>
        </w:rPr>
      </w:pPr>
      <w:r>
        <w:rPr>
          <w:rFonts w:hint="eastAsia"/>
          <w:b w:val="0"/>
          <w:bCs w:val="0"/>
          <w:color w:val="auto"/>
          <w:sz w:val="24"/>
        </w:rPr>
        <w:t>（1）起草（草案、论证）阶段：</w:t>
      </w:r>
      <w:r>
        <w:rPr>
          <w:b w:val="0"/>
          <w:bCs w:val="0"/>
          <w:color w:val="auto"/>
          <w:sz w:val="24"/>
        </w:rPr>
        <w:t>202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5</w:t>
      </w:r>
      <w:r>
        <w:rPr>
          <w:rFonts w:hint="eastAsia"/>
          <w:b w:val="0"/>
          <w:bCs w:val="0"/>
          <w:color w:val="auto"/>
          <w:sz w:val="24"/>
        </w:rPr>
        <w:t>月立项，主要起草单位正式征集工作组成员，工作组成员主要为</w:t>
      </w:r>
      <w:r>
        <w:rPr>
          <w:rFonts w:hint="eastAsia" w:ascii="宋体" w:hAnsi="宋体"/>
          <w:sz w:val="24"/>
          <w:lang w:val="en-US" w:eastAsia="zh-CN"/>
        </w:rPr>
        <w:t>深圳市溯源质量检测和标准化技术有限公司、深圳市宝联珠宝标准与信息技术促进中心</w:t>
      </w:r>
      <w:r>
        <w:rPr>
          <w:rFonts w:hint="eastAsia"/>
          <w:b w:val="0"/>
          <w:bCs w:val="0"/>
          <w:color w:val="auto"/>
          <w:sz w:val="24"/>
        </w:rPr>
        <w:t>技术代表；20</w:t>
      </w:r>
      <w:r>
        <w:rPr>
          <w:b w:val="0"/>
          <w:bCs w:val="0"/>
          <w:color w:val="auto"/>
          <w:sz w:val="24"/>
        </w:rPr>
        <w:t>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5</w:t>
      </w:r>
      <w:r>
        <w:rPr>
          <w:rFonts w:hint="eastAsia"/>
          <w:b w:val="0"/>
          <w:bCs w:val="0"/>
          <w:color w:val="auto"/>
          <w:sz w:val="24"/>
        </w:rPr>
        <w:t>月</w:t>
      </w:r>
      <w:r>
        <w:rPr>
          <w:rFonts w:hint="eastAsia"/>
          <w:b w:val="0"/>
          <w:bCs w:val="0"/>
          <w:color w:val="auto"/>
          <w:sz w:val="24"/>
          <w:lang w:val="en-US" w:eastAsia="zh-CN"/>
        </w:rPr>
        <w:t>底</w:t>
      </w:r>
      <w:r>
        <w:rPr>
          <w:rFonts w:hint="eastAsia"/>
          <w:b w:val="0"/>
          <w:bCs w:val="0"/>
          <w:color w:val="auto"/>
          <w:sz w:val="24"/>
        </w:rPr>
        <w:t>，</w:t>
      </w:r>
      <w:r>
        <w:rPr>
          <w:rFonts w:hint="eastAsia"/>
          <w:b w:val="0"/>
          <w:bCs w:val="0"/>
          <w:color w:val="auto"/>
          <w:sz w:val="24"/>
          <w:lang w:val="en-US" w:eastAsia="zh-CN"/>
        </w:rPr>
        <w:t>工作组根据</w:t>
      </w:r>
      <w:r>
        <w:rPr>
          <w:rFonts w:hint="eastAsia"/>
          <w:b w:val="0"/>
          <w:bCs w:val="0"/>
          <w:color w:val="auto"/>
          <w:sz w:val="24"/>
        </w:rPr>
        <w:t>整理汇总和分析比较调研结果，编制标准大纲；截止2</w:t>
      </w:r>
      <w:r>
        <w:rPr>
          <w:b w:val="0"/>
          <w:bCs w:val="0"/>
          <w:color w:val="auto"/>
          <w:sz w:val="24"/>
        </w:rPr>
        <w:t>02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6</w:t>
      </w:r>
      <w:r>
        <w:rPr>
          <w:rFonts w:hint="eastAsia"/>
          <w:b w:val="0"/>
          <w:bCs w:val="0"/>
          <w:color w:val="auto"/>
          <w:sz w:val="24"/>
        </w:rPr>
        <w:t>月，开展工作组讨论会，修改标准大纲；</w:t>
      </w:r>
      <w:r>
        <w:rPr>
          <w:b w:val="0"/>
          <w:bCs w:val="0"/>
          <w:color w:val="auto"/>
          <w:sz w:val="24"/>
        </w:rPr>
        <w:t>202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7</w:t>
      </w:r>
      <w:r>
        <w:rPr>
          <w:rFonts w:hint="eastAsia"/>
          <w:b w:val="0"/>
          <w:bCs w:val="0"/>
          <w:color w:val="auto"/>
          <w:sz w:val="24"/>
        </w:rPr>
        <w:t>月，工作组形成正式草案；截止2</w:t>
      </w:r>
      <w:r>
        <w:rPr>
          <w:b w:val="0"/>
          <w:bCs w:val="0"/>
          <w:color w:val="auto"/>
          <w:sz w:val="24"/>
        </w:rPr>
        <w:t>02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7</w:t>
      </w:r>
      <w:r>
        <w:rPr>
          <w:rFonts w:hint="eastAsia"/>
          <w:b w:val="0"/>
          <w:bCs w:val="0"/>
          <w:color w:val="auto"/>
          <w:sz w:val="24"/>
        </w:rPr>
        <w:t>月</w:t>
      </w:r>
      <w:r>
        <w:rPr>
          <w:rFonts w:hint="eastAsia"/>
          <w:b w:val="0"/>
          <w:bCs w:val="0"/>
          <w:color w:val="auto"/>
          <w:sz w:val="24"/>
          <w:lang w:val="en-US" w:eastAsia="zh-CN"/>
        </w:rPr>
        <w:t>底</w:t>
      </w:r>
      <w:r>
        <w:rPr>
          <w:rFonts w:hint="eastAsia"/>
          <w:b w:val="0"/>
          <w:bCs w:val="0"/>
          <w:color w:val="auto"/>
          <w:sz w:val="24"/>
        </w:rPr>
        <w:t>，</w:t>
      </w:r>
      <w:r>
        <w:rPr>
          <w:b w:val="0"/>
          <w:bCs w:val="0"/>
          <w:color w:val="auto"/>
          <w:sz w:val="24"/>
        </w:rPr>
        <w:t>工作组征集</w:t>
      </w:r>
      <w:r>
        <w:rPr>
          <w:rFonts w:hint="eastAsia"/>
          <w:b w:val="0"/>
          <w:bCs w:val="0"/>
          <w:color w:val="auto"/>
          <w:sz w:val="24"/>
        </w:rPr>
        <w:t>行业企业和行业专家</w:t>
      </w:r>
      <w:r>
        <w:rPr>
          <w:b w:val="0"/>
          <w:bCs w:val="0"/>
          <w:color w:val="auto"/>
          <w:sz w:val="24"/>
        </w:rPr>
        <w:t>意见，反复对</w:t>
      </w:r>
      <w:r>
        <w:rPr>
          <w:rFonts w:hint="eastAsia"/>
          <w:b w:val="0"/>
          <w:bCs w:val="0"/>
          <w:color w:val="auto"/>
          <w:sz w:val="24"/>
          <w:lang w:val="en-US" w:eastAsia="zh-CN"/>
        </w:rPr>
        <w:t>草案</w:t>
      </w:r>
      <w:r>
        <w:rPr>
          <w:b w:val="0"/>
          <w:bCs w:val="0"/>
          <w:color w:val="auto"/>
          <w:sz w:val="24"/>
        </w:rPr>
        <w:t>进行讨论修改，形成</w:t>
      </w:r>
      <w:r>
        <w:rPr>
          <w:rFonts w:hint="eastAsia"/>
          <w:b w:val="0"/>
          <w:bCs w:val="0"/>
          <w:color w:val="auto"/>
          <w:sz w:val="24"/>
          <w:lang w:val="en-US" w:eastAsia="zh-CN"/>
        </w:rPr>
        <w:t>征集意见稿</w:t>
      </w:r>
      <w:r>
        <w:rPr>
          <w:rFonts w:hint="eastAsia"/>
          <w:b w:val="0"/>
          <w:bCs w:val="0"/>
          <w:color w:val="auto"/>
          <w:sz w:val="24"/>
        </w:rPr>
        <w:t>和编制说明等文件；</w:t>
      </w:r>
    </w:p>
    <w:p>
      <w:pPr>
        <w:spacing w:line="360" w:lineRule="auto"/>
        <w:ind w:firstLine="480" w:firstLineChars="200"/>
        <w:rPr>
          <w:rFonts w:hint="eastAsia"/>
          <w:b w:val="0"/>
          <w:bCs w:val="0"/>
          <w:color w:val="auto"/>
          <w:sz w:val="24"/>
        </w:rPr>
      </w:pPr>
      <w:r>
        <w:rPr>
          <w:rFonts w:hint="eastAsia"/>
          <w:b w:val="0"/>
          <w:bCs w:val="0"/>
          <w:color w:val="auto"/>
          <w:sz w:val="24"/>
        </w:rPr>
        <w:t>（2）征求意见阶段：</w:t>
      </w:r>
      <w:r>
        <w:rPr>
          <w:b w:val="0"/>
          <w:bCs w:val="0"/>
          <w:color w:val="auto"/>
          <w:sz w:val="24"/>
        </w:rPr>
        <w:t>202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8</w:t>
      </w:r>
      <w:r>
        <w:rPr>
          <w:rFonts w:hint="eastAsia"/>
          <w:b w:val="0"/>
          <w:bCs w:val="0"/>
          <w:color w:val="auto"/>
          <w:sz w:val="24"/>
        </w:rPr>
        <w:t>月</w:t>
      </w:r>
      <w:r>
        <w:rPr>
          <w:rFonts w:hint="eastAsia"/>
          <w:b w:val="0"/>
          <w:bCs w:val="0"/>
          <w:color w:val="auto"/>
          <w:sz w:val="24"/>
          <w:lang w:eastAsia="zh-CN"/>
        </w:rPr>
        <w:t>，面向联盟成员单位征求意见；</w:t>
      </w:r>
      <w:r>
        <w:rPr>
          <w:rFonts w:hint="eastAsia"/>
          <w:b w:val="0"/>
          <w:bCs w:val="0"/>
          <w:color w:val="auto"/>
          <w:sz w:val="24"/>
          <w:lang w:val="en-US" w:eastAsia="zh-CN"/>
        </w:rPr>
        <w:t>2022年10月，汇总征求意见表，对标准文本进行修改，形成送审稿和编制说明等文件，并送审；</w:t>
      </w:r>
    </w:p>
    <w:p>
      <w:pPr>
        <w:spacing w:before="156" w:beforeLines="50" w:after="156" w:afterLines="50" w:line="360" w:lineRule="auto"/>
        <w:ind w:left="359" w:leftChars="171" w:firstLine="120" w:firstLineChars="50"/>
        <w:rPr>
          <w:rFonts w:ascii="黑体" w:hAnsi="黑体" w:eastAsia="黑体"/>
          <w:sz w:val="24"/>
        </w:rPr>
      </w:pPr>
      <w:bookmarkStart w:id="0" w:name="_GoBack"/>
      <w:bookmarkEnd w:id="0"/>
      <w:r>
        <w:rPr>
          <w:rFonts w:hint="eastAsia" w:ascii="黑体" w:hAnsi="黑体" w:eastAsia="黑体"/>
          <w:sz w:val="24"/>
        </w:rPr>
        <w:t>3、</w:t>
      </w:r>
      <w:r>
        <w:rPr>
          <w:rFonts w:ascii="黑体" w:hAnsi="黑体" w:eastAsia="黑体"/>
          <w:kern w:val="0"/>
          <w:sz w:val="24"/>
        </w:rPr>
        <w:t>主要参加单位和工作组成员及其所做的工作</w:t>
      </w:r>
    </w:p>
    <w:p>
      <w:pPr>
        <w:widowControl/>
        <w:spacing w:line="360" w:lineRule="auto"/>
        <w:ind w:firstLine="480" w:firstLineChars="200"/>
        <w:jc w:val="left"/>
        <w:rPr>
          <w:sz w:val="24"/>
        </w:rPr>
      </w:pPr>
      <w:r>
        <w:rPr>
          <w:rFonts w:hint="eastAsia"/>
          <w:sz w:val="24"/>
        </w:rPr>
        <w:t>本标准</w:t>
      </w:r>
      <w:r>
        <w:rPr>
          <w:rFonts w:hint="eastAsia" w:ascii="宋体" w:hAnsi="宋体"/>
          <w:sz w:val="24"/>
        </w:rPr>
        <w:t>由深圳市罗湖区真品溯源珠宝技术研究院、深圳市溯源质量检测和标准化技术有限公司、深圳市星光达珠宝首饰实业有限公司、深圳宝福珠宝有限公司、深圳市翠绿首饰制造有限公司、东莞市金龙珠宝首饰有限公司、深圳市瑞麒珠宝首饰有限公司、深圳市宝联珠宝标准与信息技术促进中心、贵金属及珠宝玉石饰品企业标准联盟</w:t>
      </w:r>
      <w:r>
        <w:rPr>
          <w:rFonts w:hint="eastAsia" w:ascii="宋体" w:hAnsi="宋体"/>
          <w:sz w:val="24"/>
          <w:lang w:val="en-US" w:eastAsia="zh-CN"/>
        </w:rPr>
        <w:t>共同编制</w:t>
      </w:r>
      <w:r>
        <w:rPr>
          <w:rFonts w:hint="eastAsia"/>
          <w:sz w:val="24"/>
        </w:rPr>
        <w:t>。</w:t>
      </w:r>
    </w:p>
    <w:p>
      <w:pPr>
        <w:widowControl/>
        <w:spacing w:line="360" w:lineRule="auto"/>
        <w:ind w:firstLine="480" w:firstLineChars="200"/>
        <w:jc w:val="left"/>
        <w:rPr>
          <w:color w:val="auto"/>
          <w:sz w:val="24"/>
        </w:rPr>
      </w:pPr>
      <w:r>
        <w:rPr>
          <w:rFonts w:hint="eastAsia"/>
          <w:color w:val="auto"/>
          <w:sz w:val="24"/>
        </w:rPr>
        <w:t>主要成员：胡小凡、高婷、李章平、吕宜亮、潘瑶、周翔、刘润局</w:t>
      </w:r>
      <w:r>
        <w:rPr>
          <w:rFonts w:hint="eastAsia"/>
          <w:color w:val="auto"/>
          <w:sz w:val="24"/>
          <w:lang w:eastAsia="zh-CN"/>
        </w:rPr>
        <w:t>、赵敏、杨晓燕</w:t>
      </w:r>
      <w:r>
        <w:rPr>
          <w:rFonts w:hint="eastAsia"/>
          <w:color w:val="auto"/>
          <w:sz w:val="24"/>
          <w:lang w:val="en-US" w:eastAsia="zh-CN"/>
        </w:rPr>
        <w:t>。</w:t>
      </w:r>
    </w:p>
    <w:p>
      <w:pPr>
        <w:widowControl/>
        <w:spacing w:line="360" w:lineRule="auto"/>
        <w:ind w:firstLine="480" w:firstLineChars="200"/>
        <w:jc w:val="left"/>
        <w:rPr>
          <w:sz w:val="24"/>
        </w:rPr>
      </w:pPr>
      <w:r>
        <w:rPr>
          <w:rFonts w:hint="eastAsia"/>
          <w:sz w:val="24"/>
        </w:rPr>
        <w:t>所做的工作：</w:t>
      </w:r>
      <w:r>
        <w:rPr>
          <w:rFonts w:hint="eastAsia"/>
          <w:color w:val="auto"/>
          <w:sz w:val="24"/>
        </w:rPr>
        <w:t>胡小凡</w:t>
      </w:r>
      <w:r>
        <w:rPr>
          <w:rFonts w:hint="eastAsia"/>
          <w:sz w:val="24"/>
        </w:rPr>
        <w:t>负责</w:t>
      </w:r>
      <w:r>
        <w:rPr>
          <w:sz w:val="24"/>
        </w:rPr>
        <w:t>法律法规及定稿把关</w:t>
      </w:r>
      <w:r>
        <w:rPr>
          <w:rFonts w:hint="eastAsia"/>
          <w:sz w:val="24"/>
        </w:rPr>
        <w:t>；</w:t>
      </w:r>
      <w:r>
        <w:rPr>
          <w:rFonts w:hint="eastAsia"/>
          <w:color w:val="auto"/>
          <w:sz w:val="24"/>
        </w:rPr>
        <w:t>李章平</w:t>
      </w:r>
      <w:r>
        <w:rPr>
          <w:sz w:val="24"/>
        </w:rPr>
        <w:t>负责标准文本的审核修改及与意见单位的沟通</w:t>
      </w:r>
      <w:r>
        <w:rPr>
          <w:rFonts w:hint="eastAsia"/>
          <w:sz w:val="24"/>
        </w:rPr>
        <w:t>；</w:t>
      </w:r>
      <w:r>
        <w:rPr>
          <w:rFonts w:hint="eastAsia"/>
          <w:color w:val="auto"/>
          <w:sz w:val="24"/>
        </w:rPr>
        <w:t>吕宜亮、潘瑶、周翔、刘润局</w:t>
      </w:r>
      <w:r>
        <w:rPr>
          <w:rFonts w:hint="eastAsia"/>
          <w:color w:val="auto"/>
          <w:sz w:val="24"/>
          <w:lang w:eastAsia="zh-CN"/>
        </w:rPr>
        <w:t>、赵敏、杨晓燕</w:t>
      </w:r>
      <w:r>
        <w:rPr>
          <w:rFonts w:hint="eastAsia"/>
          <w:sz w:val="24"/>
        </w:rPr>
        <w:t>负责问卷和资料调研</w:t>
      </w:r>
      <w:r>
        <w:rPr>
          <w:rFonts w:hint="eastAsia"/>
          <w:sz w:val="24"/>
          <w:lang w:eastAsia="zh-CN"/>
        </w:rPr>
        <w:t>；</w:t>
      </w:r>
      <w:r>
        <w:rPr>
          <w:rFonts w:hint="eastAsia"/>
          <w:color w:val="auto"/>
          <w:sz w:val="24"/>
        </w:rPr>
        <w:t>高婷</w:t>
      </w:r>
      <w:r>
        <w:rPr>
          <w:rFonts w:hint="eastAsia"/>
          <w:color w:val="auto"/>
          <w:sz w:val="24"/>
          <w:lang w:val="en-US" w:eastAsia="zh-CN"/>
        </w:rPr>
        <w:t>负责</w:t>
      </w:r>
      <w:r>
        <w:rPr>
          <w:sz w:val="24"/>
        </w:rPr>
        <w:t>起草文本</w:t>
      </w:r>
      <w:r>
        <w:rPr>
          <w:rFonts w:hint="eastAsia"/>
          <w:sz w:val="24"/>
        </w:rPr>
        <w:t>、</w:t>
      </w:r>
      <w:r>
        <w:rPr>
          <w:sz w:val="24"/>
        </w:rPr>
        <w:t>起草标准编制说明</w:t>
      </w:r>
      <w:r>
        <w:rPr>
          <w:rFonts w:hint="eastAsia"/>
          <w:sz w:val="24"/>
        </w:rPr>
        <w:t>、</w:t>
      </w:r>
      <w:r>
        <w:rPr>
          <w:sz w:val="24"/>
        </w:rPr>
        <w:t>企业等各方面意见的征询和反馈收集</w:t>
      </w:r>
      <w:r>
        <w:rPr>
          <w:rFonts w:hint="eastAsia"/>
          <w:sz w:val="24"/>
        </w:rPr>
        <w:t>及标准文本</w:t>
      </w:r>
      <w:r>
        <w:rPr>
          <w:sz w:val="24"/>
        </w:rPr>
        <w:t>修改工作</w:t>
      </w:r>
      <w:r>
        <w:rPr>
          <w:rFonts w:hint="eastAsia"/>
          <w:sz w:val="24"/>
        </w:rPr>
        <w:t>。</w:t>
      </w:r>
    </w:p>
    <w:p>
      <w:pPr>
        <w:spacing w:before="156" w:beforeLines="50" w:line="360" w:lineRule="auto"/>
        <w:rPr>
          <w:rFonts w:eastAsia="黑体"/>
          <w:sz w:val="28"/>
          <w:szCs w:val="28"/>
        </w:rPr>
      </w:pPr>
      <w:r>
        <w:rPr>
          <w:rFonts w:eastAsia="黑体"/>
          <w:sz w:val="28"/>
          <w:szCs w:val="28"/>
        </w:rPr>
        <w:t>二、编制原则和主要内容</w:t>
      </w:r>
    </w:p>
    <w:p>
      <w:pPr>
        <w:spacing w:before="156" w:beforeLines="50" w:after="156" w:afterLines="50" w:line="360" w:lineRule="auto"/>
        <w:ind w:firstLine="480" w:firstLineChars="200"/>
        <w:rPr>
          <w:rFonts w:eastAsia="黑体"/>
          <w:sz w:val="24"/>
        </w:rPr>
      </w:pPr>
      <w:r>
        <w:rPr>
          <w:rFonts w:eastAsia="黑体"/>
          <w:sz w:val="24"/>
        </w:rPr>
        <w:t>1、编制原则</w:t>
      </w:r>
    </w:p>
    <w:p>
      <w:pPr>
        <w:spacing w:before="156" w:beforeLines="50" w:after="156" w:afterLines="50" w:line="360" w:lineRule="auto"/>
        <w:ind w:firstLine="480" w:firstLineChars="200"/>
        <w:rPr>
          <w:rFonts w:eastAsia="黑体"/>
          <w:sz w:val="24"/>
        </w:rPr>
      </w:pPr>
      <w:r>
        <w:rPr>
          <w:rFonts w:hint="eastAsia" w:ascii="宋体" w:hAnsi="宋体"/>
          <w:sz w:val="24"/>
        </w:rPr>
        <w:t>标准的格式、结构和内容主要按照GB/T 1.1《标准化工作导则 第1部分：标准的结构和编写》进行编写。编制原则符合《轻工行业标准制修订工作细则》的规定，符合成套成体系原则</w:t>
      </w:r>
      <w:r>
        <w:rPr>
          <w:rFonts w:hint="eastAsia" w:ascii="宋体" w:hAnsi="宋体"/>
          <w:kern w:val="0"/>
          <w:sz w:val="24"/>
        </w:rPr>
        <w:t>等</w:t>
      </w:r>
      <w:r>
        <w:rPr>
          <w:rFonts w:hint="eastAsia" w:ascii="宋体" w:hAnsi="宋体"/>
          <w:sz w:val="24"/>
        </w:rPr>
        <w:t>标准立项原则。标准编制原则如下：</w:t>
      </w:r>
    </w:p>
    <w:p>
      <w:pPr>
        <w:spacing w:before="156" w:beforeLines="50" w:after="156" w:afterLines="50" w:line="360" w:lineRule="auto"/>
        <w:ind w:firstLine="480" w:firstLineChars="200"/>
        <w:rPr>
          <w:rFonts w:ascii="宋体" w:hAnsi="宋体"/>
          <w:sz w:val="24"/>
        </w:rPr>
      </w:pPr>
      <w:r>
        <w:rPr>
          <w:rFonts w:hint="eastAsia" w:ascii="宋体" w:hAnsi="宋体"/>
          <w:sz w:val="24"/>
        </w:rPr>
        <w:t>a) 产业发展原则</w:t>
      </w:r>
    </w:p>
    <w:p>
      <w:pPr>
        <w:spacing w:before="156" w:beforeLines="50" w:after="156" w:afterLines="50" w:line="360" w:lineRule="auto"/>
        <w:ind w:firstLine="480" w:firstLineChars="200"/>
        <w:rPr>
          <w:rFonts w:ascii="宋体" w:hAnsi="宋体"/>
          <w:sz w:val="24"/>
        </w:rPr>
      </w:pPr>
      <w:r>
        <w:rPr>
          <w:rFonts w:hint="eastAsia" w:ascii="宋体" w:hAnsi="宋体"/>
          <w:sz w:val="24"/>
        </w:rPr>
        <w:t>为促进产业升级，需要通过标准来推动，制定标准建立在贵金属及珠宝玉石饰品企业标准联盟的数十家企业技术基础，标准计划履行符合企业为主、中介参与、政府引导和支持的标准制修订新模式，技术、人才、资金等各方面均有较好的准备，具有很强的可行性。</w:t>
      </w:r>
    </w:p>
    <w:p>
      <w:pPr>
        <w:spacing w:before="156" w:beforeLines="50" w:after="156" w:afterLines="50" w:line="360" w:lineRule="auto"/>
        <w:ind w:firstLine="480" w:firstLineChars="200"/>
        <w:rPr>
          <w:rFonts w:ascii="宋体" w:hAnsi="宋体"/>
          <w:sz w:val="24"/>
        </w:rPr>
      </w:pPr>
      <w:r>
        <w:rPr>
          <w:rFonts w:hint="eastAsia" w:ascii="宋体" w:hAnsi="宋体"/>
          <w:sz w:val="24"/>
        </w:rPr>
        <w:t>b)</w:t>
      </w:r>
      <w:r>
        <w:rPr>
          <w:rFonts w:hint="eastAsia" w:ascii="宋体" w:hAnsi="宋体"/>
          <w:sz w:val="24"/>
        </w:rPr>
        <w:tab/>
      </w:r>
      <w:r>
        <w:rPr>
          <w:rFonts w:hint="eastAsia" w:ascii="宋体" w:hAnsi="宋体"/>
          <w:sz w:val="24"/>
        </w:rPr>
        <w:t>市场需要原则</w:t>
      </w:r>
    </w:p>
    <w:p>
      <w:pPr>
        <w:spacing w:before="156" w:beforeLines="50" w:after="156" w:afterLines="50" w:line="360" w:lineRule="auto"/>
        <w:ind w:firstLine="480" w:firstLineChars="200"/>
        <w:rPr>
          <w:rFonts w:ascii="宋体" w:hAnsi="宋体"/>
          <w:sz w:val="24"/>
        </w:rPr>
      </w:pPr>
      <w:r>
        <w:rPr>
          <w:rFonts w:hint="eastAsia" w:ascii="宋体" w:hAnsi="宋体"/>
          <w:sz w:val="24"/>
        </w:rPr>
        <w:t>标准计划的提出和编制，以充分调研我国珠宝首饰企业的实际标准需求为基础，力求符合珠宝首饰</w:t>
      </w:r>
      <w:r>
        <w:rPr>
          <w:rFonts w:hint="eastAsia" w:ascii="宋体" w:hAnsi="宋体"/>
          <w:sz w:val="24"/>
          <w:lang w:val="en-US" w:eastAsia="zh-CN"/>
        </w:rPr>
        <w:t>行业</w:t>
      </w:r>
      <w:r>
        <w:rPr>
          <w:rFonts w:hint="eastAsia" w:ascii="宋体" w:hAnsi="宋体"/>
          <w:sz w:val="24"/>
        </w:rPr>
        <w:t>的需要。</w:t>
      </w:r>
    </w:p>
    <w:p>
      <w:pPr>
        <w:spacing w:before="156" w:beforeLines="50" w:after="156" w:afterLines="50" w:line="360" w:lineRule="auto"/>
        <w:ind w:firstLine="480" w:firstLineChars="200"/>
        <w:rPr>
          <w:rFonts w:ascii="宋体" w:hAnsi="宋体"/>
          <w:sz w:val="24"/>
        </w:rPr>
      </w:pPr>
      <w:r>
        <w:rPr>
          <w:rFonts w:hint="eastAsia" w:ascii="宋体" w:hAnsi="宋体"/>
          <w:sz w:val="24"/>
        </w:rPr>
        <w:t>c)</w:t>
      </w:r>
      <w:r>
        <w:rPr>
          <w:rFonts w:hint="eastAsia" w:ascii="宋体" w:hAnsi="宋体"/>
          <w:sz w:val="24"/>
        </w:rPr>
        <w:tab/>
      </w:r>
      <w:r>
        <w:rPr>
          <w:rFonts w:hint="eastAsia" w:ascii="宋体" w:hAnsi="宋体"/>
          <w:sz w:val="24"/>
        </w:rPr>
        <w:t>重点突出原则</w:t>
      </w:r>
    </w:p>
    <w:p>
      <w:pPr>
        <w:spacing w:before="156" w:beforeLines="50" w:after="156" w:afterLines="50" w:line="360" w:lineRule="auto"/>
        <w:ind w:firstLine="480" w:firstLineChars="200"/>
        <w:rPr>
          <w:rFonts w:ascii="宋体" w:hAnsi="宋体"/>
          <w:sz w:val="24"/>
        </w:rPr>
      </w:pPr>
      <w:r>
        <w:rPr>
          <w:rFonts w:hint="eastAsia" w:ascii="宋体" w:hAnsi="宋体"/>
          <w:sz w:val="24"/>
        </w:rPr>
        <w:t>标准内容编制包含</w:t>
      </w:r>
      <w:r>
        <w:rPr>
          <w:rFonts w:hint="eastAsia" w:ascii="宋体" w:hAnsi="宋体"/>
          <w:sz w:val="24"/>
          <w:lang w:val="en-US" w:eastAsia="zh-CN"/>
        </w:rPr>
        <w:t>正版正货饰品</w:t>
      </w:r>
      <w:r>
        <w:rPr>
          <w:rFonts w:hint="eastAsia" w:ascii="宋体" w:hAnsi="宋体"/>
          <w:sz w:val="24"/>
        </w:rPr>
        <w:t>的各个方面，突出标准重点。</w:t>
      </w:r>
    </w:p>
    <w:p>
      <w:pPr>
        <w:spacing w:before="156" w:beforeLines="50" w:after="156" w:afterLines="50" w:line="360" w:lineRule="auto"/>
        <w:ind w:firstLine="480" w:firstLineChars="200"/>
        <w:rPr>
          <w:rFonts w:ascii="宋体" w:hAnsi="宋体"/>
          <w:sz w:val="24"/>
        </w:rPr>
      </w:pPr>
      <w:r>
        <w:rPr>
          <w:rFonts w:hint="eastAsia" w:ascii="宋体" w:hAnsi="宋体"/>
          <w:sz w:val="24"/>
        </w:rPr>
        <w:t>d)</w:t>
      </w:r>
      <w:r>
        <w:rPr>
          <w:rFonts w:hint="eastAsia" w:ascii="宋体" w:hAnsi="宋体"/>
          <w:sz w:val="24"/>
        </w:rPr>
        <w:tab/>
      </w:r>
      <w:r>
        <w:rPr>
          <w:rFonts w:hint="eastAsia" w:ascii="宋体" w:hAnsi="宋体"/>
          <w:sz w:val="24"/>
        </w:rPr>
        <w:t>成套成体系原则</w:t>
      </w:r>
    </w:p>
    <w:p>
      <w:pPr>
        <w:spacing w:before="156" w:beforeLines="50" w:after="156" w:afterLines="50" w:line="360" w:lineRule="auto"/>
        <w:ind w:firstLine="480" w:firstLineChars="200"/>
        <w:rPr>
          <w:rFonts w:ascii="宋体" w:hAnsi="宋体"/>
          <w:sz w:val="24"/>
        </w:rPr>
      </w:pPr>
      <w:r>
        <w:rPr>
          <w:rFonts w:hint="eastAsia" w:ascii="宋体" w:hAnsi="宋体"/>
          <w:sz w:val="24"/>
        </w:rPr>
        <w:t>标准计划的提出和编制，建立在充分查找和参阅现行法律法规及相关的国家标准、行业标准的基础上，保证标准计划的内容能够符合法律法规以及强制性国家标准、行业标准的要求，并避免与现行相关国家标准和行业标准内容发生交叉重复。力求标准计划的提出弥补我国现行珠宝首饰行业标准体系的空缺，共同推进行业标准体系的完善。</w:t>
      </w:r>
    </w:p>
    <w:p>
      <w:pPr>
        <w:spacing w:before="156" w:beforeLines="50" w:after="156" w:afterLines="50" w:line="360" w:lineRule="auto"/>
        <w:ind w:firstLine="480" w:firstLineChars="200"/>
        <w:rPr>
          <w:rFonts w:eastAsia="黑体"/>
          <w:sz w:val="24"/>
        </w:rPr>
      </w:pPr>
      <w:r>
        <w:rPr>
          <w:rFonts w:eastAsia="黑体"/>
          <w:sz w:val="24"/>
        </w:rPr>
        <w:t>2、主要技术内容</w:t>
      </w:r>
    </w:p>
    <w:p>
      <w:pPr>
        <w:spacing w:line="360" w:lineRule="auto"/>
        <w:ind w:right="227" w:rightChars="108" w:firstLine="480" w:firstLineChars="200"/>
        <w:rPr>
          <w:rFonts w:hint="eastAsia" w:hAnsi="宋体"/>
          <w:sz w:val="24"/>
        </w:rPr>
      </w:pPr>
      <w:r>
        <w:rPr>
          <w:rFonts w:hint="eastAsia" w:hAnsi="宋体"/>
          <w:sz w:val="24"/>
        </w:rPr>
        <w:t>本文件规定了正版正货饰品经营服务的术语和定义、</w:t>
      </w:r>
      <w:r>
        <w:rPr>
          <w:rFonts w:hint="eastAsia" w:hAnsi="宋体"/>
          <w:sz w:val="24"/>
          <w:lang w:val="en-US" w:eastAsia="zh-CN"/>
        </w:rPr>
        <w:t>产品</w:t>
      </w:r>
      <w:r>
        <w:rPr>
          <w:rFonts w:hint="eastAsia" w:hAnsi="宋体"/>
          <w:sz w:val="24"/>
        </w:rPr>
        <w:t>要求、服务方要求、经营管理要求、经营服务要求、服务的改进与投诉。</w:t>
      </w:r>
    </w:p>
    <w:p>
      <w:pPr>
        <w:spacing w:line="360" w:lineRule="auto"/>
        <w:ind w:right="227" w:rightChars="108" w:firstLine="480" w:firstLineChars="200"/>
        <w:rPr>
          <w:rFonts w:hint="eastAsia" w:hAnsi="宋体"/>
          <w:sz w:val="24"/>
        </w:rPr>
      </w:pPr>
      <w:r>
        <w:rPr>
          <w:rFonts w:hint="eastAsia" w:hAnsi="宋体"/>
          <w:sz w:val="24"/>
        </w:rPr>
        <w:t>本文件适用于</w:t>
      </w:r>
      <w:r>
        <w:rPr>
          <w:rFonts w:hint="eastAsia" w:hAnsi="宋体"/>
          <w:sz w:val="24"/>
          <w:lang w:val="en-US" w:eastAsia="zh-CN"/>
        </w:rPr>
        <w:t>销售</w:t>
      </w:r>
      <w:r>
        <w:rPr>
          <w:rFonts w:hint="eastAsia" w:hAnsi="宋体"/>
          <w:sz w:val="24"/>
        </w:rPr>
        <w:t>正版正货饰品的企业。</w:t>
      </w:r>
    </w:p>
    <w:p>
      <w:pPr>
        <w:spacing w:before="156" w:beforeLines="50" w:after="156" w:afterLines="50" w:line="360" w:lineRule="auto"/>
        <w:ind w:right="227" w:rightChars="108" w:firstLine="480" w:firstLineChars="200"/>
        <w:rPr>
          <w:rFonts w:ascii="黑体" w:hAnsi="黑体" w:eastAsia="黑体"/>
          <w:sz w:val="24"/>
        </w:rPr>
      </w:pPr>
      <w:r>
        <w:rPr>
          <w:rFonts w:hint="eastAsia" w:ascii="黑体" w:hAnsi="黑体" w:eastAsia="黑体"/>
          <w:sz w:val="24"/>
        </w:rPr>
        <w:t>3、解决的主要问题</w:t>
      </w:r>
    </w:p>
    <w:p>
      <w:pPr>
        <w:spacing w:line="360" w:lineRule="auto"/>
        <w:ind w:right="227" w:rightChars="108" w:firstLine="480" w:firstLineChars="200"/>
        <w:rPr>
          <w:rFonts w:hint="eastAsia" w:eastAsia="宋体"/>
          <w:sz w:val="24"/>
          <w:lang w:val="en-US" w:eastAsia="zh-CN"/>
        </w:rPr>
      </w:pPr>
      <w:r>
        <w:rPr>
          <w:rFonts w:hint="eastAsia" w:ascii="宋体" w:hAnsi="宋体"/>
          <w:sz w:val="24"/>
          <w:lang w:val="zh-CN" w:eastAsia="zh-CN"/>
        </w:rPr>
        <w:t>随着经济的快速增长，珠宝市场得到了较大的丰富和发展，但同时也出现了自主设计水平不高，抄袭模仿较为突出，同质化严重，原创产品得不到有效保护，维权困难，以及产品说明和信息披露不真实、不准确、不全面、不规范等问题，极大损害了珠宝企业和消费者的权益，为推进珠宝行业发展的标准化、规范化，</w:t>
      </w:r>
      <w:r>
        <w:rPr>
          <w:rFonts w:hint="eastAsia" w:ascii="宋体" w:hAnsi="宋体"/>
          <w:sz w:val="24"/>
          <w:lang w:val="en-US" w:eastAsia="zh-CN"/>
        </w:rPr>
        <w:t>制定</w:t>
      </w:r>
      <w:r>
        <w:rPr>
          <w:rFonts w:hint="eastAsia" w:ascii="宋体" w:hAnsi="宋体"/>
          <w:sz w:val="24"/>
          <w:lang w:val="zh-CN" w:eastAsia="zh-CN"/>
        </w:rPr>
        <w:t>《</w:t>
      </w:r>
      <w:r>
        <w:rPr>
          <w:rFonts w:hint="eastAsia" w:ascii="宋体" w:hAnsi="宋体"/>
          <w:sz w:val="24"/>
          <w:lang w:eastAsia="zh-CN"/>
        </w:rPr>
        <w:t>正版正货饰品经营服务规范</w:t>
      </w:r>
      <w:r>
        <w:rPr>
          <w:rFonts w:hint="eastAsia" w:ascii="宋体" w:hAnsi="宋体"/>
          <w:sz w:val="24"/>
          <w:lang w:val="zh-CN" w:eastAsia="zh-CN"/>
        </w:rPr>
        <w:t>》标准，旨在为珠宝正版正货饰品认定及产品信息披露提供指南，有效保护原创知识产权作品，规范行业秩序，推动珠宝行业持续健康发展</w:t>
      </w:r>
      <w:r>
        <w:rPr>
          <w:rFonts w:hint="eastAsia" w:ascii="宋体" w:hAnsi="宋体"/>
          <w:sz w:val="24"/>
          <w:lang w:eastAsia="zh-CN"/>
        </w:rPr>
        <w:t>。</w:t>
      </w:r>
    </w:p>
    <w:p>
      <w:pPr>
        <w:spacing w:before="156" w:beforeLines="50" w:line="360" w:lineRule="auto"/>
        <w:rPr>
          <w:rFonts w:eastAsia="黑体"/>
          <w:sz w:val="28"/>
          <w:szCs w:val="28"/>
        </w:rPr>
      </w:pPr>
      <w:r>
        <w:rPr>
          <w:rFonts w:eastAsia="黑体"/>
          <w:sz w:val="28"/>
          <w:szCs w:val="28"/>
        </w:rPr>
        <w:t>三、主要试验</w:t>
      </w:r>
      <w:r>
        <w:rPr>
          <w:rFonts w:hint="eastAsia" w:eastAsia="黑体"/>
          <w:sz w:val="28"/>
          <w:szCs w:val="28"/>
        </w:rPr>
        <w:t>（或验证）</w:t>
      </w:r>
      <w:r>
        <w:rPr>
          <w:rFonts w:eastAsia="黑体"/>
          <w:sz w:val="28"/>
          <w:szCs w:val="28"/>
        </w:rPr>
        <w:t>情况</w:t>
      </w:r>
    </w:p>
    <w:p>
      <w:pPr>
        <w:spacing w:line="360" w:lineRule="auto"/>
        <w:ind w:firstLine="480"/>
        <w:rPr>
          <w:rFonts w:ascii="宋体" w:hAnsi="宋体"/>
          <w:sz w:val="24"/>
        </w:rPr>
      </w:pPr>
      <w:r>
        <w:rPr>
          <w:rFonts w:hint="eastAsia" w:ascii="宋体" w:hAnsi="宋体"/>
          <w:sz w:val="24"/>
        </w:rPr>
        <w:t>本标准为基础标准，无试验。</w:t>
      </w:r>
    </w:p>
    <w:p>
      <w:pPr>
        <w:spacing w:before="156" w:beforeLines="50" w:after="156" w:afterLines="50" w:line="360" w:lineRule="auto"/>
        <w:ind w:right="227" w:rightChars="108"/>
        <w:rPr>
          <w:rFonts w:eastAsia="黑体"/>
          <w:color w:val="auto"/>
          <w:sz w:val="28"/>
          <w:szCs w:val="28"/>
        </w:rPr>
      </w:pPr>
      <w:r>
        <w:rPr>
          <w:rFonts w:eastAsia="黑体"/>
          <w:color w:val="auto"/>
          <w:sz w:val="28"/>
          <w:szCs w:val="28"/>
        </w:rPr>
        <w:t>四、</w:t>
      </w:r>
      <w:r>
        <w:rPr>
          <w:rFonts w:eastAsia="黑体"/>
          <w:color w:val="auto"/>
          <w:kern w:val="0"/>
          <w:sz w:val="28"/>
          <w:szCs w:val="28"/>
        </w:rPr>
        <w:t>标准中涉及专利</w:t>
      </w:r>
      <w:r>
        <w:rPr>
          <w:rFonts w:hint="eastAsia" w:eastAsia="黑体"/>
          <w:color w:val="auto"/>
          <w:kern w:val="0"/>
          <w:sz w:val="28"/>
          <w:szCs w:val="28"/>
        </w:rPr>
        <w:t>情况</w:t>
      </w:r>
    </w:p>
    <w:p>
      <w:pPr>
        <w:spacing w:line="360" w:lineRule="auto"/>
        <w:ind w:right="227" w:rightChars="108" w:firstLine="480"/>
        <w:rPr>
          <w:color w:val="auto"/>
          <w:sz w:val="24"/>
        </w:rPr>
      </w:pPr>
      <w:r>
        <w:rPr>
          <w:rFonts w:hint="eastAsia"/>
          <w:color w:val="auto"/>
          <w:sz w:val="24"/>
        </w:rPr>
        <w:t>本标准</w:t>
      </w:r>
      <w:r>
        <w:rPr>
          <w:rFonts w:hint="eastAsia"/>
          <w:color w:val="auto"/>
          <w:sz w:val="24"/>
          <w:lang w:val="en-US" w:eastAsia="zh-CN"/>
        </w:rPr>
        <w:t>不</w:t>
      </w:r>
      <w:r>
        <w:rPr>
          <w:rFonts w:hint="eastAsia"/>
          <w:color w:val="auto"/>
          <w:sz w:val="24"/>
        </w:rPr>
        <w:t>涉及专利问题</w:t>
      </w:r>
      <w:r>
        <w:rPr>
          <w:color w:val="auto"/>
          <w:sz w:val="24"/>
        </w:rPr>
        <w:t>。</w:t>
      </w:r>
    </w:p>
    <w:p>
      <w:pPr>
        <w:spacing w:before="156" w:beforeLines="50" w:after="156" w:afterLines="50" w:line="360" w:lineRule="auto"/>
        <w:ind w:right="227" w:rightChars="108"/>
        <w:rPr>
          <w:rFonts w:eastAsia="黑体"/>
          <w:color w:val="auto"/>
          <w:sz w:val="28"/>
          <w:szCs w:val="28"/>
        </w:rPr>
      </w:pPr>
      <w:r>
        <w:rPr>
          <w:rFonts w:eastAsia="黑体"/>
          <w:color w:val="auto"/>
          <w:sz w:val="28"/>
          <w:szCs w:val="28"/>
        </w:rPr>
        <w:t>五、</w:t>
      </w:r>
      <w:r>
        <w:rPr>
          <w:rFonts w:hint="eastAsia" w:eastAsia="黑体"/>
          <w:color w:val="auto"/>
          <w:sz w:val="28"/>
          <w:szCs w:val="28"/>
        </w:rPr>
        <w:t>预期达到的社会效益、对产业发展的作用等情况</w:t>
      </w:r>
    </w:p>
    <w:p>
      <w:pPr>
        <w:spacing w:line="360" w:lineRule="auto"/>
        <w:ind w:firstLine="480" w:firstLineChars="200"/>
        <w:rPr>
          <w:rFonts w:hint="eastAsia" w:ascii="宋体" w:hAnsi="宋体"/>
          <w:sz w:val="24"/>
        </w:rPr>
      </w:pPr>
      <w:r>
        <w:rPr>
          <w:rFonts w:hint="eastAsia" w:ascii="宋体" w:hAnsi="宋体"/>
          <w:sz w:val="24"/>
          <w:lang w:val="zh-CN"/>
        </w:rPr>
        <w:t>珠宝行业信用体系建设是一个长期的过程，结合行业发展的新形势及新需求，持续开展珠宝标准研究、原创知识产权保护和信用建设工作，推动珠宝行业的全面可持续发展。《</w:t>
      </w:r>
      <w:r>
        <w:rPr>
          <w:rFonts w:hint="eastAsia" w:ascii="宋体" w:hAnsi="宋体"/>
          <w:sz w:val="24"/>
        </w:rPr>
        <w:t>正版正货饰品经营服务规范</w:t>
      </w:r>
      <w:r>
        <w:rPr>
          <w:rFonts w:hint="eastAsia" w:ascii="宋体" w:hAnsi="宋体"/>
          <w:sz w:val="24"/>
          <w:lang w:val="zh-CN"/>
        </w:rPr>
        <w:t>》填补了深圳正版正货饰品认定领域的标准空白，能作为指导正版正货饰品认定的依据，对于规范和推动我国珠宝市场的发展有着十分显著的指导和实践作用</w:t>
      </w:r>
      <w:r>
        <w:rPr>
          <w:rFonts w:hint="eastAsia" w:ascii="宋体" w:hAnsi="宋体"/>
          <w:sz w:val="24"/>
        </w:rPr>
        <w:t>。</w:t>
      </w:r>
    </w:p>
    <w:p>
      <w:pPr>
        <w:spacing w:line="360" w:lineRule="auto"/>
        <w:ind w:firstLine="480" w:firstLineChars="200"/>
        <w:rPr>
          <w:rFonts w:hint="eastAsia" w:ascii="宋体" w:hAnsi="宋体"/>
          <w:sz w:val="24"/>
        </w:rPr>
      </w:pPr>
      <w:r>
        <w:rPr>
          <w:rFonts w:hint="eastAsia" w:ascii="宋体" w:hAnsi="宋体"/>
          <w:sz w:val="24"/>
        </w:rPr>
        <w:t>本标准的制订和发布实施，对于促进我国整个珠宝首饰行业的绿色、良性发展具有重大意义，促进产业结构调整与优化升级。</w:t>
      </w:r>
    </w:p>
    <w:p>
      <w:pPr>
        <w:spacing w:before="156" w:beforeLines="50" w:after="156" w:afterLines="50" w:line="360" w:lineRule="auto"/>
        <w:ind w:right="227" w:rightChars="108"/>
        <w:rPr>
          <w:rFonts w:eastAsia="黑体"/>
          <w:kern w:val="0"/>
          <w:sz w:val="28"/>
          <w:szCs w:val="28"/>
        </w:rPr>
      </w:pPr>
      <w:r>
        <w:rPr>
          <w:rFonts w:eastAsia="黑体"/>
          <w:sz w:val="28"/>
          <w:szCs w:val="28"/>
        </w:rPr>
        <w:t>六、</w:t>
      </w:r>
      <w:r>
        <w:rPr>
          <w:rFonts w:hint="eastAsia" w:eastAsia="黑体"/>
          <w:kern w:val="0"/>
          <w:sz w:val="28"/>
          <w:szCs w:val="28"/>
        </w:rPr>
        <w:t>与</w:t>
      </w:r>
      <w:r>
        <w:rPr>
          <w:rFonts w:eastAsia="黑体"/>
          <w:kern w:val="0"/>
          <w:sz w:val="28"/>
          <w:szCs w:val="28"/>
        </w:rPr>
        <w:t>国际</w:t>
      </w:r>
      <w:r>
        <w:rPr>
          <w:rFonts w:hint="eastAsia" w:eastAsia="黑体"/>
          <w:kern w:val="0"/>
          <w:sz w:val="28"/>
          <w:szCs w:val="28"/>
        </w:rPr>
        <w:t>、</w:t>
      </w:r>
      <w:r>
        <w:rPr>
          <w:rFonts w:eastAsia="黑体"/>
          <w:kern w:val="0"/>
          <w:sz w:val="28"/>
          <w:szCs w:val="28"/>
        </w:rPr>
        <w:t>国外</w:t>
      </w:r>
      <w:r>
        <w:rPr>
          <w:rFonts w:hint="eastAsia" w:eastAsia="黑体"/>
          <w:kern w:val="0"/>
          <w:sz w:val="28"/>
          <w:szCs w:val="28"/>
        </w:rPr>
        <w:t>对比情况</w:t>
      </w:r>
    </w:p>
    <w:p>
      <w:pPr>
        <w:spacing w:line="360" w:lineRule="auto"/>
        <w:ind w:firstLine="480" w:firstLineChars="200"/>
        <w:rPr>
          <w:rFonts w:ascii="宋体" w:hAnsi="宋体"/>
          <w:sz w:val="24"/>
        </w:rPr>
      </w:pPr>
      <w:r>
        <w:rPr>
          <w:rFonts w:hint="eastAsia" w:ascii="宋体" w:hAnsi="宋体"/>
          <w:sz w:val="24"/>
        </w:rPr>
        <w:t>本标准没有采用国际标准。</w:t>
      </w:r>
    </w:p>
    <w:p>
      <w:pPr>
        <w:spacing w:line="360" w:lineRule="auto"/>
        <w:ind w:firstLine="480" w:firstLineChars="200"/>
        <w:rPr>
          <w:rFonts w:ascii="宋体" w:hAnsi="宋体"/>
          <w:sz w:val="24"/>
        </w:rPr>
      </w:pPr>
      <w:r>
        <w:rPr>
          <w:rFonts w:hint="eastAsia" w:ascii="宋体" w:hAnsi="宋体"/>
          <w:sz w:val="24"/>
        </w:rPr>
        <w:t>本标准制定过程中未查到同类国际、国外标准。</w:t>
      </w:r>
    </w:p>
    <w:p>
      <w:pPr>
        <w:spacing w:line="360" w:lineRule="auto"/>
        <w:ind w:firstLine="480" w:firstLineChars="200"/>
        <w:rPr>
          <w:rFonts w:ascii="宋体" w:hAnsi="宋体"/>
          <w:sz w:val="24"/>
        </w:rPr>
      </w:pPr>
      <w:r>
        <w:rPr>
          <w:rFonts w:hint="eastAsia" w:ascii="宋体" w:hAnsi="宋体"/>
          <w:sz w:val="24"/>
        </w:rPr>
        <w:t>本标准制定过程中未测试国外的样品、样机。</w:t>
      </w:r>
    </w:p>
    <w:p>
      <w:pPr>
        <w:spacing w:after="156" w:afterLines="50" w:line="360" w:lineRule="auto"/>
        <w:ind w:firstLine="480" w:firstLineChars="200"/>
        <w:rPr>
          <w:rFonts w:ascii="宋体" w:hAnsi="宋体"/>
          <w:sz w:val="24"/>
        </w:rPr>
      </w:pPr>
      <w:r>
        <w:rPr>
          <w:rFonts w:hint="eastAsia" w:ascii="宋体" w:hAnsi="宋体"/>
          <w:sz w:val="24"/>
        </w:rPr>
        <w:t>本标准水平为国内先进水平。</w:t>
      </w:r>
    </w:p>
    <w:p>
      <w:pPr>
        <w:spacing w:after="156" w:afterLines="50" w:line="360" w:lineRule="auto"/>
        <w:rPr>
          <w:rFonts w:ascii="黑体" w:hAnsi="黑体" w:eastAsia="黑体"/>
          <w:sz w:val="28"/>
          <w:szCs w:val="28"/>
        </w:rPr>
      </w:pPr>
      <w:r>
        <w:rPr>
          <w:rFonts w:hint="eastAsia" w:ascii="黑体" w:hAnsi="黑体" w:eastAsia="黑体"/>
          <w:sz w:val="28"/>
          <w:szCs w:val="28"/>
        </w:rPr>
        <w:t>七、在标准体系中的位置，与现行相关法律、法规、规章及相关标准，特别是强制性标准的协调性</w:t>
      </w:r>
    </w:p>
    <w:p>
      <w:pPr>
        <w:spacing w:line="360" w:lineRule="auto"/>
        <w:ind w:firstLine="480" w:firstLineChars="200"/>
        <w:rPr>
          <w:rFonts w:ascii="宋体" w:hAnsi="宋体"/>
          <w:sz w:val="24"/>
        </w:rPr>
      </w:pPr>
      <w:r>
        <w:rPr>
          <w:rFonts w:hint="eastAsia" w:ascii="宋体" w:hAnsi="宋体"/>
          <w:sz w:val="24"/>
        </w:rPr>
        <w:t>本标准属于首饰领域标准体系“首饰”大类、“珠宝玉石饰品”中类。</w:t>
      </w:r>
    </w:p>
    <w:p>
      <w:pPr>
        <w:spacing w:after="156" w:afterLines="50" w:line="360" w:lineRule="auto"/>
        <w:ind w:firstLine="480" w:firstLineChars="200"/>
        <w:rPr>
          <w:rFonts w:ascii="宋体" w:hAnsi="宋体"/>
          <w:sz w:val="24"/>
        </w:rPr>
      </w:pPr>
      <w:r>
        <w:rPr>
          <w:rFonts w:hint="eastAsia" w:ascii="宋体" w:hAnsi="宋体"/>
          <w:sz w:val="24"/>
        </w:rPr>
        <w:t>本标准与现行相关法律、法规、规章及相关标准协调一致。</w:t>
      </w:r>
    </w:p>
    <w:p>
      <w:pPr>
        <w:spacing w:before="156" w:beforeLines="50" w:after="156" w:afterLines="50" w:line="360" w:lineRule="auto"/>
        <w:rPr>
          <w:rFonts w:eastAsia="黑体"/>
          <w:sz w:val="28"/>
          <w:szCs w:val="28"/>
        </w:rPr>
      </w:pPr>
      <w:r>
        <w:rPr>
          <w:rFonts w:eastAsia="黑体"/>
          <w:sz w:val="28"/>
          <w:szCs w:val="28"/>
        </w:rPr>
        <w:t>八、重大分歧</w:t>
      </w:r>
      <w:r>
        <w:rPr>
          <w:rFonts w:hint="eastAsia" w:eastAsia="黑体"/>
          <w:sz w:val="28"/>
          <w:szCs w:val="28"/>
        </w:rPr>
        <w:t>意见</w:t>
      </w:r>
      <w:r>
        <w:rPr>
          <w:rFonts w:eastAsia="黑体"/>
          <w:sz w:val="28"/>
          <w:szCs w:val="28"/>
        </w:rPr>
        <w:t>的处理</w:t>
      </w:r>
      <w:r>
        <w:rPr>
          <w:rFonts w:hint="eastAsia" w:eastAsia="黑体"/>
          <w:sz w:val="28"/>
          <w:szCs w:val="28"/>
        </w:rPr>
        <w:t>经过</w:t>
      </w:r>
      <w:r>
        <w:rPr>
          <w:rFonts w:eastAsia="黑体"/>
          <w:sz w:val="28"/>
          <w:szCs w:val="28"/>
        </w:rPr>
        <w:t>和依据</w:t>
      </w:r>
    </w:p>
    <w:p>
      <w:pPr>
        <w:spacing w:line="360" w:lineRule="auto"/>
        <w:ind w:firstLine="480" w:firstLineChars="200"/>
        <w:rPr>
          <w:sz w:val="24"/>
        </w:rPr>
      </w:pPr>
      <w:r>
        <w:rPr>
          <w:rFonts w:hint="eastAsia"/>
          <w:sz w:val="24"/>
        </w:rPr>
        <w:t>无。</w:t>
      </w:r>
    </w:p>
    <w:p>
      <w:pPr>
        <w:adjustRightInd w:val="0"/>
        <w:snapToGrid w:val="0"/>
        <w:spacing w:before="156" w:beforeLines="50" w:after="156" w:afterLines="50" w:line="360" w:lineRule="auto"/>
        <w:jc w:val="left"/>
        <w:rPr>
          <w:rFonts w:eastAsia="黑体"/>
          <w:kern w:val="0"/>
          <w:sz w:val="28"/>
          <w:szCs w:val="28"/>
        </w:rPr>
      </w:pPr>
      <w:r>
        <w:rPr>
          <w:rFonts w:eastAsia="黑体"/>
          <w:kern w:val="0"/>
          <w:sz w:val="28"/>
          <w:szCs w:val="28"/>
        </w:rPr>
        <w:t>九、 标准性质的建议说明</w:t>
      </w:r>
    </w:p>
    <w:p>
      <w:pPr>
        <w:adjustRightInd w:val="0"/>
        <w:snapToGrid w:val="0"/>
        <w:spacing w:before="156" w:beforeLines="50" w:after="156" w:afterLines="50" w:line="360" w:lineRule="auto"/>
        <w:ind w:firstLine="480" w:firstLineChars="200"/>
        <w:jc w:val="left"/>
        <w:rPr>
          <w:rFonts w:ascii="宋体" w:hAnsi="宋体"/>
          <w:kern w:val="0"/>
          <w:sz w:val="24"/>
        </w:rPr>
      </w:pPr>
      <w:r>
        <w:rPr>
          <w:rFonts w:hint="eastAsia" w:ascii="宋体" w:hAnsi="宋体"/>
          <w:kern w:val="0"/>
          <w:sz w:val="24"/>
        </w:rPr>
        <w:t>建议本标准的性质为推荐性团体标准。</w:t>
      </w:r>
    </w:p>
    <w:p>
      <w:pPr>
        <w:tabs>
          <w:tab w:val="left" w:pos="720"/>
          <w:tab w:val="left" w:pos="1559"/>
          <w:tab w:val="left" w:pos="3389"/>
          <w:tab w:val="left" w:pos="5328"/>
          <w:tab w:val="left" w:pos="6770"/>
          <w:tab w:val="left" w:pos="8320"/>
          <w:tab w:val="left" w:pos="9870"/>
          <w:tab w:val="left" w:pos="11420"/>
          <w:tab w:val="left" w:pos="13379"/>
        </w:tabs>
        <w:spacing w:before="156" w:beforeLines="50" w:after="156" w:afterLines="50" w:line="360" w:lineRule="auto"/>
        <w:rPr>
          <w:rFonts w:eastAsia="黑体"/>
          <w:kern w:val="0"/>
          <w:sz w:val="28"/>
          <w:szCs w:val="28"/>
        </w:rPr>
      </w:pPr>
      <w:r>
        <w:rPr>
          <w:rFonts w:hint="eastAsia" w:eastAsia="黑体"/>
          <w:kern w:val="0"/>
          <w:sz w:val="28"/>
          <w:szCs w:val="28"/>
        </w:rPr>
        <w:t>十、贯彻标准的要求和措施建议</w:t>
      </w:r>
    </w:p>
    <w:p>
      <w:pPr>
        <w:tabs>
          <w:tab w:val="left" w:pos="720"/>
          <w:tab w:val="left" w:pos="1559"/>
          <w:tab w:val="left" w:pos="3389"/>
          <w:tab w:val="left" w:pos="5328"/>
          <w:tab w:val="left" w:pos="6770"/>
          <w:tab w:val="left" w:pos="8320"/>
          <w:tab w:val="left" w:pos="9870"/>
          <w:tab w:val="left" w:pos="11420"/>
          <w:tab w:val="left" w:pos="13379"/>
        </w:tabs>
        <w:spacing w:line="360" w:lineRule="auto"/>
        <w:ind w:firstLine="480" w:firstLineChars="200"/>
        <w:rPr>
          <w:rFonts w:ascii="宋体" w:hAnsi="宋体"/>
          <w:kern w:val="0"/>
          <w:sz w:val="24"/>
        </w:rPr>
      </w:pPr>
      <w:r>
        <w:rPr>
          <w:rFonts w:hint="eastAsia" w:ascii="宋体" w:hAnsi="宋体"/>
          <w:kern w:val="0"/>
          <w:sz w:val="24"/>
        </w:rPr>
        <w:t>建议本标准批准发布</w:t>
      </w:r>
      <w:r>
        <w:rPr>
          <w:rFonts w:hint="eastAsia" w:ascii="宋体" w:hAnsi="宋体"/>
          <w:kern w:val="0"/>
          <w:sz w:val="24"/>
          <w:lang w:val="en-US" w:eastAsia="zh-CN"/>
        </w:rPr>
        <w:t>之日起</w:t>
      </w:r>
      <w:r>
        <w:rPr>
          <w:rFonts w:hint="eastAsia" w:ascii="宋体" w:hAnsi="宋体"/>
          <w:kern w:val="0"/>
          <w:sz w:val="24"/>
        </w:rPr>
        <w:t>实施。</w:t>
      </w:r>
    </w:p>
    <w:p>
      <w:pPr>
        <w:tabs>
          <w:tab w:val="left" w:pos="720"/>
          <w:tab w:val="left" w:pos="1559"/>
          <w:tab w:val="left" w:pos="3389"/>
          <w:tab w:val="left" w:pos="5328"/>
          <w:tab w:val="left" w:pos="6770"/>
          <w:tab w:val="left" w:pos="8320"/>
          <w:tab w:val="left" w:pos="9870"/>
          <w:tab w:val="left" w:pos="11420"/>
          <w:tab w:val="left" w:pos="13379"/>
        </w:tabs>
        <w:spacing w:line="360" w:lineRule="auto"/>
        <w:ind w:firstLine="480" w:firstLineChars="200"/>
        <w:rPr>
          <w:rFonts w:ascii="宋体" w:hAnsi="宋体"/>
          <w:kern w:val="0"/>
          <w:sz w:val="24"/>
        </w:rPr>
      </w:pPr>
      <w:r>
        <w:rPr>
          <w:rFonts w:hint="eastAsia" w:ascii="宋体" w:hAnsi="宋体"/>
          <w:kern w:val="0"/>
          <w:sz w:val="24"/>
        </w:rPr>
        <w:t>标准发布后由</w:t>
      </w:r>
      <w:r>
        <w:rPr>
          <w:rFonts w:hint="eastAsia" w:ascii="宋体" w:hAnsi="宋体"/>
          <w:kern w:val="0"/>
          <w:sz w:val="24"/>
          <w:lang w:val="en-US" w:eastAsia="zh-CN"/>
        </w:rPr>
        <w:t>深圳市宝联珠宝标准与信息技术促进中心</w:t>
      </w:r>
      <w:r>
        <w:rPr>
          <w:rFonts w:hint="eastAsia" w:ascii="宋体" w:hAnsi="宋体"/>
          <w:kern w:val="0"/>
          <w:sz w:val="24"/>
        </w:rPr>
        <w:t>组织、主要起草单位全力配合进行全行业宣贯。</w:t>
      </w:r>
    </w:p>
    <w:p>
      <w:pPr>
        <w:spacing w:before="156" w:beforeLines="50" w:after="156" w:afterLines="50" w:line="360" w:lineRule="auto"/>
        <w:rPr>
          <w:rFonts w:eastAsia="黑体"/>
          <w:sz w:val="28"/>
          <w:szCs w:val="28"/>
        </w:rPr>
      </w:pPr>
      <w:r>
        <w:rPr>
          <w:rFonts w:eastAsia="黑体"/>
          <w:kern w:val="0"/>
          <w:sz w:val="28"/>
          <w:szCs w:val="28"/>
        </w:rPr>
        <w:t>十一、废止现行相关标准的建议</w:t>
      </w:r>
    </w:p>
    <w:p>
      <w:pPr>
        <w:spacing w:line="360" w:lineRule="auto"/>
        <w:ind w:firstLine="480" w:firstLineChars="200"/>
        <w:rPr>
          <w:sz w:val="24"/>
        </w:rPr>
      </w:pPr>
      <w:r>
        <w:rPr>
          <w:sz w:val="24"/>
        </w:rPr>
        <w:t>无。</w:t>
      </w:r>
    </w:p>
    <w:p>
      <w:pPr>
        <w:spacing w:before="156" w:beforeLines="50" w:after="156" w:afterLines="50" w:line="360" w:lineRule="auto"/>
        <w:rPr>
          <w:rFonts w:eastAsia="黑体"/>
          <w:kern w:val="0"/>
          <w:sz w:val="28"/>
          <w:szCs w:val="28"/>
        </w:rPr>
      </w:pPr>
      <w:r>
        <w:rPr>
          <w:rFonts w:eastAsia="黑体"/>
          <w:sz w:val="28"/>
          <w:szCs w:val="28"/>
        </w:rPr>
        <w:t>十二、</w:t>
      </w:r>
      <w:r>
        <w:rPr>
          <w:rFonts w:eastAsia="黑体"/>
          <w:kern w:val="0"/>
          <w:sz w:val="28"/>
          <w:szCs w:val="28"/>
        </w:rPr>
        <w:t>其它应予说明的事项</w:t>
      </w:r>
    </w:p>
    <w:p>
      <w:pPr>
        <w:spacing w:before="62" w:beforeLines="20" w:after="62" w:afterLines="20" w:line="360" w:lineRule="auto"/>
        <w:ind w:firstLine="480" w:firstLineChars="200"/>
        <w:rPr>
          <w:rFonts w:ascii="宋体" w:hAnsi="宋体"/>
          <w:kern w:val="0"/>
          <w:sz w:val="24"/>
        </w:rPr>
      </w:pPr>
      <w:r>
        <w:rPr>
          <w:rFonts w:hint="eastAsia" w:ascii="宋体" w:hAnsi="宋体"/>
          <w:sz w:val="24"/>
        </w:rPr>
        <w:t>无</w:t>
      </w:r>
    </w:p>
    <w:sectPr>
      <w:footerReference r:id="rId5" w:type="first"/>
      <w:footerReference r:id="rId3" w:type="default"/>
      <w:footerReference r:id="rId4" w:type="even"/>
      <w:pgSz w:w="11906" w:h="16838"/>
      <w:pgMar w:top="1440" w:right="1800" w:bottom="1440" w:left="1800"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 xml:space="preserve">                                                                                   </w:t>
    </w:r>
    <w:r>
      <w:fldChar w:fldCharType="begin"/>
    </w:r>
    <w:r>
      <w:rPr>
        <w:rStyle w:val="9"/>
      </w:rPr>
      <w:instrText xml:space="preserve"> PAGE </w:instrText>
    </w:r>
    <w:r>
      <w:fldChar w:fldCharType="separate"/>
    </w:r>
    <w:r>
      <w:rPr>
        <w:rStyle w:val="9"/>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 xml:space="preserve">                                                                                  </w:t>
    </w:r>
    <w:r>
      <w:fldChar w:fldCharType="begin"/>
    </w:r>
    <w:r>
      <w:rPr>
        <w:rStyle w:val="9"/>
      </w:rPr>
      <w:instrText xml:space="preserve"> PAGE </w:instrText>
    </w:r>
    <w:r>
      <w:fldChar w:fldCharType="separate"/>
    </w:r>
    <w:r>
      <w:rPr>
        <w:rStyle w:val="9"/>
      </w:rP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612B68"/>
    <w:multiLevelType w:val="multilevel"/>
    <w:tmpl w:val="38612B68"/>
    <w:lvl w:ilvl="0" w:tentative="0">
      <w:start w:val="1"/>
      <w:numFmt w:val="japaneseCounting"/>
      <w:lvlText w:val="%1、"/>
      <w:lvlJc w:val="left"/>
      <w:pPr>
        <w:tabs>
          <w:tab w:val="left" w:pos="720"/>
        </w:tabs>
        <w:ind w:left="720" w:hanging="720"/>
      </w:pPr>
      <w:rPr>
        <w:rFonts w:hint="default"/>
      </w:rPr>
    </w:lvl>
    <w:lvl w:ilvl="1" w:tentative="0">
      <w:start w:val="1"/>
      <w:numFmt w:val="decimal"/>
      <w:lvlText w:val="%2."/>
      <w:lvlJc w:val="left"/>
      <w:pPr>
        <w:tabs>
          <w:tab w:val="left" w:pos="780"/>
        </w:tabs>
        <w:ind w:left="780" w:hanging="360"/>
      </w:pPr>
      <w:rPr>
        <w:rFonts w:hint="default"/>
      </w:rPr>
    </w:lvl>
    <w:lvl w:ilvl="2" w:tentative="0">
      <w:start w:val="1"/>
      <w:numFmt w:val="decimal"/>
      <w:lvlText w:val="%3．"/>
      <w:lvlJc w:val="left"/>
      <w:pPr>
        <w:tabs>
          <w:tab w:val="left" w:pos="720"/>
        </w:tabs>
        <w:ind w:left="72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lkNWNlM2E0YjlmZjg3NjQwNGQ5MDM0NjNiYmM0YWUifQ=="/>
  </w:docVars>
  <w:rsids>
    <w:rsidRoot w:val="003C308D"/>
    <w:rsid w:val="00001E93"/>
    <w:rsid w:val="000048F2"/>
    <w:rsid w:val="000050F1"/>
    <w:rsid w:val="0000541F"/>
    <w:rsid w:val="00010710"/>
    <w:rsid w:val="00017DD7"/>
    <w:rsid w:val="00020973"/>
    <w:rsid w:val="00021B64"/>
    <w:rsid w:val="00021B71"/>
    <w:rsid w:val="000259E5"/>
    <w:rsid w:val="00031172"/>
    <w:rsid w:val="000339A3"/>
    <w:rsid w:val="00034A40"/>
    <w:rsid w:val="0004121A"/>
    <w:rsid w:val="00042BEC"/>
    <w:rsid w:val="0004648E"/>
    <w:rsid w:val="00054F88"/>
    <w:rsid w:val="000573FF"/>
    <w:rsid w:val="00060D11"/>
    <w:rsid w:val="000633F1"/>
    <w:rsid w:val="00063838"/>
    <w:rsid w:val="0007491E"/>
    <w:rsid w:val="00074F74"/>
    <w:rsid w:val="0008120C"/>
    <w:rsid w:val="00083659"/>
    <w:rsid w:val="00086590"/>
    <w:rsid w:val="0009360A"/>
    <w:rsid w:val="00096886"/>
    <w:rsid w:val="000A2961"/>
    <w:rsid w:val="000B09B2"/>
    <w:rsid w:val="000B20D2"/>
    <w:rsid w:val="000C76E8"/>
    <w:rsid w:val="000D0810"/>
    <w:rsid w:val="000D6E5E"/>
    <w:rsid w:val="000E127F"/>
    <w:rsid w:val="00114AF8"/>
    <w:rsid w:val="00115482"/>
    <w:rsid w:val="0012299A"/>
    <w:rsid w:val="0012677D"/>
    <w:rsid w:val="001347C6"/>
    <w:rsid w:val="001352E7"/>
    <w:rsid w:val="0013766C"/>
    <w:rsid w:val="00137A52"/>
    <w:rsid w:val="00140CD3"/>
    <w:rsid w:val="00151182"/>
    <w:rsid w:val="00151E79"/>
    <w:rsid w:val="00155BEC"/>
    <w:rsid w:val="00155F57"/>
    <w:rsid w:val="00157C15"/>
    <w:rsid w:val="001615D4"/>
    <w:rsid w:val="00162F52"/>
    <w:rsid w:val="00166481"/>
    <w:rsid w:val="00172EC2"/>
    <w:rsid w:val="00176AF5"/>
    <w:rsid w:val="00177CF9"/>
    <w:rsid w:val="00186222"/>
    <w:rsid w:val="00192D83"/>
    <w:rsid w:val="001A193B"/>
    <w:rsid w:val="001A2E47"/>
    <w:rsid w:val="001A4786"/>
    <w:rsid w:val="001A6303"/>
    <w:rsid w:val="001A792E"/>
    <w:rsid w:val="001C2D13"/>
    <w:rsid w:val="001C77EF"/>
    <w:rsid w:val="001D1C74"/>
    <w:rsid w:val="001D30E9"/>
    <w:rsid w:val="001E55E0"/>
    <w:rsid w:val="001E69AB"/>
    <w:rsid w:val="002012F6"/>
    <w:rsid w:val="002023D8"/>
    <w:rsid w:val="00203A23"/>
    <w:rsid w:val="00207BEC"/>
    <w:rsid w:val="00212AC3"/>
    <w:rsid w:val="00217E8E"/>
    <w:rsid w:val="00221594"/>
    <w:rsid w:val="00222EB7"/>
    <w:rsid w:val="00223BA5"/>
    <w:rsid w:val="002350A2"/>
    <w:rsid w:val="0023765F"/>
    <w:rsid w:val="00243A3C"/>
    <w:rsid w:val="002507A7"/>
    <w:rsid w:val="00250BDC"/>
    <w:rsid w:val="0025299B"/>
    <w:rsid w:val="002534F4"/>
    <w:rsid w:val="0027200B"/>
    <w:rsid w:val="00276EEE"/>
    <w:rsid w:val="002778E1"/>
    <w:rsid w:val="00283F75"/>
    <w:rsid w:val="00284E0C"/>
    <w:rsid w:val="00285DB4"/>
    <w:rsid w:val="0029004F"/>
    <w:rsid w:val="00294046"/>
    <w:rsid w:val="00295491"/>
    <w:rsid w:val="002A1184"/>
    <w:rsid w:val="002A7DF1"/>
    <w:rsid w:val="002B0975"/>
    <w:rsid w:val="002B2EC4"/>
    <w:rsid w:val="002E0BDA"/>
    <w:rsid w:val="002F477E"/>
    <w:rsid w:val="002F6397"/>
    <w:rsid w:val="0030270A"/>
    <w:rsid w:val="00312491"/>
    <w:rsid w:val="0031252F"/>
    <w:rsid w:val="003161F7"/>
    <w:rsid w:val="0033344F"/>
    <w:rsid w:val="003604E6"/>
    <w:rsid w:val="00360663"/>
    <w:rsid w:val="003608A5"/>
    <w:rsid w:val="00366948"/>
    <w:rsid w:val="00377209"/>
    <w:rsid w:val="00377421"/>
    <w:rsid w:val="003806E8"/>
    <w:rsid w:val="00384C3E"/>
    <w:rsid w:val="00385B92"/>
    <w:rsid w:val="00387949"/>
    <w:rsid w:val="00395082"/>
    <w:rsid w:val="003A40C6"/>
    <w:rsid w:val="003A41D3"/>
    <w:rsid w:val="003A735D"/>
    <w:rsid w:val="003C2F57"/>
    <w:rsid w:val="003C308D"/>
    <w:rsid w:val="003D1576"/>
    <w:rsid w:val="003D1AB9"/>
    <w:rsid w:val="003D7048"/>
    <w:rsid w:val="003D738C"/>
    <w:rsid w:val="003E03E6"/>
    <w:rsid w:val="003E67C9"/>
    <w:rsid w:val="003F067A"/>
    <w:rsid w:val="00400D09"/>
    <w:rsid w:val="00400EF7"/>
    <w:rsid w:val="00404C75"/>
    <w:rsid w:val="00423CE0"/>
    <w:rsid w:val="00424CB9"/>
    <w:rsid w:val="00444FBB"/>
    <w:rsid w:val="00447813"/>
    <w:rsid w:val="004713C9"/>
    <w:rsid w:val="004721EA"/>
    <w:rsid w:val="004753A4"/>
    <w:rsid w:val="004839FF"/>
    <w:rsid w:val="004863D4"/>
    <w:rsid w:val="00493355"/>
    <w:rsid w:val="00496EAD"/>
    <w:rsid w:val="00496FC1"/>
    <w:rsid w:val="004A2B03"/>
    <w:rsid w:val="004C520C"/>
    <w:rsid w:val="004C6B97"/>
    <w:rsid w:val="004D5CD3"/>
    <w:rsid w:val="004D6B28"/>
    <w:rsid w:val="004E0A2B"/>
    <w:rsid w:val="004E117B"/>
    <w:rsid w:val="004E1748"/>
    <w:rsid w:val="004E3B15"/>
    <w:rsid w:val="004E6838"/>
    <w:rsid w:val="004E79D9"/>
    <w:rsid w:val="00500D20"/>
    <w:rsid w:val="00500E5F"/>
    <w:rsid w:val="00501A43"/>
    <w:rsid w:val="00501F7F"/>
    <w:rsid w:val="00505063"/>
    <w:rsid w:val="005057FC"/>
    <w:rsid w:val="00512042"/>
    <w:rsid w:val="00514942"/>
    <w:rsid w:val="00515D43"/>
    <w:rsid w:val="00525D2A"/>
    <w:rsid w:val="00535D18"/>
    <w:rsid w:val="00542AEC"/>
    <w:rsid w:val="00556D72"/>
    <w:rsid w:val="00560819"/>
    <w:rsid w:val="00563AA6"/>
    <w:rsid w:val="00563F04"/>
    <w:rsid w:val="00571507"/>
    <w:rsid w:val="00577CE2"/>
    <w:rsid w:val="005A5172"/>
    <w:rsid w:val="005B59E4"/>
    <w:rsid w:val="005C1C5E"/>
    <w:rsid w:val="005C204A"/>
    <w:rsid w:val="005C562A"/>
    <w:rsid w:val="005C6180"/>
    <w:rsid w:val="005C6305"/>
    <w:rsid w:val="005C70DA"/>
    <w:rsid w:val="005C7C6B"/>
    <w:rsid w:val="005D5FD3"/>
    <w:rsid w:val="005D60AE"/>
    <w:rsid w:val="005D714F"/>
    <w:rsid w:val="005E3F2E"/>
    <w:rsid w:val="005E54AA"/>
    <w:rsid w:val="005E7E94"/>
    <w:rsid w:val="005F0B07"/>
    <w:rsid w:val="005F6CBA"/>
    <w:rsid w:val="00603FDD"/>
    <w:rsid w:val="00636697"/>
    <w:rsid w:val="00654BAC"/>
    <w:rsid w:val="00660049"/>
    <w:rsid w:val="00665F99"/>
    <w:rsid w:val="0067341F"/>
    <w:rsid w:val="006813CD"/>
    <w:rsid w:val="0069029D"/>
    <w:rsid w:val="006A3FCD"/>
    <w:rsid w:val="006A45DF"/>
    <w:rsid w:val="006A6EA4"/>
    <w:rsid w:val="006B27E2"/>
    <w:rsid w:val="006B3690"/>
    <w:rsid w:val="006C5729"/>
    <w:rsid w:val="006C7623"/>
    <w:rsid w:val="006D06CB"/>
    <w:rsid w:val="006D0E1F"/>
    <w:rsid w:val="006D4860"/>
    <w:rsid w:val="006D6B60"/>
    <w:rsid w:val="006D6DC2"/>
    <w:rsid w:val="006E6A30"/>
    <w:rsid w:val="006E74AD"/>
    <w:rsid w:val="006E77BA"/>
    <w:rsid w:val="006F312D"/>
    <w:rsid w:val="00707D91"/>
    <w:rsid w:val="007107CD"/>
    <w:rsid w:val="00717417"/>
    <w:rsid w:val="00731F8B"/>
    <w:rsid w:val="00736D53"/>
    <w:rsid w:val="00742A72"/>
    <w:rsid w:val="00743C67"/>
    <w:rsid w:val="00743F95"/>
    <w:rsid w:val="007527C5"/>
    <w:rsid w:val="00752CB2"/>
    <w:rsid w:val="007532C3"/>
    <w:rsid w:val="0076111F"/>
    <w:rsid w:val="00763AD2"/>
    <w:rsid w:val="00770107"/>
    <w:rsid w:val="007725A4"/>
    <w:rsid w:val="00772BAA"/>
    <w:rsid w:val="00775EAB"/>
    <w:rsid w:val="00780B79"/>
    <w:rsid w:val="00781BC9"/>
    <w:rsid w:val="0078310F"/>
    <w:rsid w:val="00785060"/>
    <w:rsid w:val="00785D31"/>
    <w:rsid w:val="007921B8"/>
    <w:rsid w:val="0079344B"/>
    <w:rsid w:val="00796603"/>
    <w:rsid w:val="00796C58"/>
    <w:rsid w:val="007A2191"/>
    <w:rsid w:val="007A3566"/>
    <w:rsid w:val="007A3E74"/>
    <w:rsid w:val="007B3EC4"/>
    <w:rsid w:val="007B6806"/>
    <w:rsid w:val="007C0294"/>
    <w:rsid w:val="007C4C84"/>
    <w:rsid w:val="007C5AF3"/>
    <w:rsid w:val="007E069B"/>
    <w:rsid w:val="007E3747"/>
    <w:rsid w:val="007E4E80"/>
    <w:rsid w:val="007E6A64"/>
    <w:rsid w:val="007E7BAC"/>
    <w:rsid w:val="007F087E"/>
    <w:rsid w:val="007F452C"/>
    <w:rsid w:val="007F6EEC"/>
    <w:rsid w:val="00804F8F"/>
    <w:rsid w:val="008050B6"/>
    <w:rsid w:val="008108B0"/>
    <w:rsid w:val="00812BD9"/>
    <w:rsid w:val="008159CE"/>
    <w:rsid w:val="008245C4"/>
    <w:rsid w:val="008252DF"/>
    <w:rsid w:val="008257BC"/>
    <w:rsid w:val="0083219A"/>
    <w:rsid w:val="008450C5"/>
    <w:rsid w:val="00847C1B"/>
    <w:rsid w:val="00852420"/>
    <w:rsid w:val="00854312"/>
    <w:rsid w:val="00863F4C"/>
    <w:rsid w:val="00865D12"/>
    <w:rsid w:val="008803A4"/>
    <w:rsid w:val="00881705"/>
    <w:rsid w:val="0088753E"/>
    <w:rsid w:val="008915CD"/>
    <w:rsid w:val="0089748E"/>
    <w:rsid w:val="008A1D67"/>
    <w:rsid w:val="008A4E15"/>
    <w:rsid w:val="008B1945"/>
    <w:rsid w:val="008B484A"/>
    <w:rsid w:val="008B4D8B"/>
    <w:rsid w:val="008D165B"/>
    <w:rsid w:val="008D41D7"/>
    <w:rsid w:val="008E2775"/>
    <w:rsid w:val="008E583D"/>
    <w:rsid w:val="008F423F"/>
    <w:rsid w:val="008F6BB6"/>
    <w:rsid w:val="00900B84"/>
    <w:rsid w:val="0092265D"/>
    <w:rsid w:val="0093290A"/>
    <w:rsid w:val="009368F5"/>
    <w:rsid w:val="00957C95"/>
    <w:rsid w:val="009652B4"/>
    <w:rsid w:val="00965339"/>
    <w:rsid w:val="009656A3"/>
    <w:rsid w:val="0097717F"/>
    <w:rsid w:val="00982257"/>
    <w:rsid w:val="0098522F"/>
    <w:rsid w:val="00985FFA"/>
    <w:rsid w:val="00997089"/>
    <w:rsid w:val="009A633C"/>
    <w:rsid w:val="009C220A"/>
    <w:rsid w:val="009C5418"/>
    <w:rsid w:val="009D2F38"/>
    <w:rsid w:val="009E5E65"/>
    <w:rsid w:val="009E6B23"/>
    <w:rsid w:val="009F03ED"/>
    <w:rsid w:val="009F106E"/>
    <w:rsid w:val="009F29EE"/>
    <w:rsid w:val="00A01499"/>
    <w:rsid w:val="00A042AE"/>
    <w:rsid w:val="00A11796"/>
    <w:rsid w:val="00A14B7E"/>
    <w:rsid w:val="00A159AE"/>
    <w:rsid w:val="00A16185"/>
    <w:rsid w:val="00A218FE"/>
    <w:rsid w:val="00A22587"/>
    <w:rsid w:val="00A242EC"/>
    <w:rsid w:val="00A324FB"/>
    <w:rsid w:val="00A42CE1"/>
    <w:rsid w:val="00A44340"/>
    <w:rsid w:val="00A50390"/>
    <w:rsid w:val="00A51987"/>
    <w:rsid w:val="00A60D33"/>
    <w:rsid w:val="00A677DF"/>
    <w:rsid w:val="00A67CC1"/>
    <w:rsid w:val="00A67E75"/>
    <w:rsid w:val="00A80811"/>
    <w:rsid w:val="00A8556F"/>
    <w:rsid w:val="00A90665"/>
    <w:rsid w:val="00A9349C"/>
    <w:rsid w:val="00AA13BB"/>
    <w:rsid w:val="00AA2577"/>
    <w:rsid w:val="00AA791F"/>
    <w:rsid w:val="00AB5DBC"/>
    <w:rsid w:val="00AC27D9"/>
    <w:rsid w:val="00AC42C7"/>
    <w:rsid w:val="00AC54BE"/>
    <w:rsid w:val="00AD0DC0"/>
    <w:rsid w:val="00AD1805"/>
    <w:rsid w:val="00AD1FB3"/>
    <w:rsid w:val="00AD509E"/>
    <w:rsid w:val="00AD51B6"/>
    <w:rsid w:val="00AD5847"/>
    <w:rsid w:val="00AD6503"/>
    <w:rsid w:val="00AD76BE"/>
    <w:rsid w:val="00AE1DA5"/>
    <w:rsid w:val="00AE2124"/>
    <w:rsid w:val="00AE6F74"/>
    <w:rsid w:val="00AF27FF"/>
    <w:rsid w:val="00AF6623"/>
    <w:rsid w:val="00B002BE"/>
    <w:rsid w:val="00B101F7"/>
    <w:rsid w:val="00B11672"/>
    <w:rsid w:val="00B17DA9"/>
    <w:rsid w:val="00B218C9"/>
    <w:rsid w:val="00B22362"/>
    <w:rsid w:val="00B24ED5"/>
    <w:rsid w:val="00B458CB"/>
    <w:rsid w:val="00B54C67"/>
    <w:rsid w:val="00B55DB4"/>
    <w:rsid w:val="00B561CF"/>
    <w:rsid w:val="00B712AD"/>
    <w:rsid w:val="00B82079"/>
    <w:rsid w:val="00B82B8A"/>
    <w:rsid w:val="00B93992"/>
    <w:rsid w:val="00B94305"/>
    <w:rsid w:val="00BA01E6"/>
    <w:rsid w:val="00BA5DF1"/>
    <w:rsid w:val="00BA6D18"/>
    <w:rsid w:val="00BB1C46"/>
    <w:rsid w:val="00BB260F"/>
    <w:rsid w:val="00BC2838"/>
    <w:rsid w:val="00BC312D"/>
    <w:rsid w:val="00BC59E0"/>
    <w:rsid w:val="00BC5FCE"/>
    <w:rsid w:val="00BC68E7"/>
    <w:rsid w:val="00BD02AB"/>
    <w:rsid w:val="00BD2178"/>
    <w:rsid w:val="00BE414C"/>
    <w:rsid w:val="00BE7A3A"/>
    <w:rsid w:val="00BF0026"/>
    <w:rsid w:val="00C00A2F"/>
    <w:rsid w:val="00C01DB7"/>
    <w:rsid w:val="00C03632"/>
    <w:rsid w:val="00C04E38"/>
    <w:rsid w:val="00C062AD"/>
    <w:rsid w:val="00C1049A"/>
    <w:rsid w:val="00C20D4E"/>
    <w:rsid w:val="00C217F8"/>
    <w:rsid w:val="00C25444"/>
    <w:rsid w:val="00C262E7"/>
    <w:rsid w:val="00C323D5"/>
    <w:rsid w:val="00C337C3"/>
    <w:rsid w:val="00C35BFB"/>
    <w:rsid w:val="00C42FCA"/>
    <w:rsid w:val="00C44FC0"/>
    <w:rsid w:val="00C47605"/>
    <w:rsid w:val="00C5105D"/>
    <w:rsid w:val="00C5392B"/>
    <w:rsid w:val="00C53A0E"/>
    <w:rsid w:val="00C54456"/>
    <w:rsid w:val="00C56B93"/>
    <w:rsid w:val="00C6329B"/>
    <w:rsid w:val="00C6693F"/>
    <w:rsid w:val="00C7799F"/>
    <w:rsid w:val="00C80797"/>
    <w:rsid w:val="00C8410B"/>
    <w:rsid w:val="00C852D5"/>
    <w:rsid w:val="00C90F43"/>
    <w:rsid w:val="00C93639"/>
    <w:rsid w:val="00C936E5"/>
    <w:rsid w:val="00CA63A5"/>
    <w:rsid w:val="00CB27DF"/>
    <w:rsid w:val="00CB5A01"/>
    <w:rsid w:val="00CC675D"/>
    <w:rsid w:val="00CD098F"/>
    <w:rsid w:val="00CD1158"/>
    <w:rsid w:val="00CD72C1"/>
    <w:rsid w:val="00CE040D"/>
    <w:rsid w:val="00CE3582"/>
    <w:rsid w:val="00CE488A"/>
    <w:rsid w:val="00CE6468"/>
    <w:rsid w:val="00CE69BA"/>
    <w:rsid w:val="00CF03A0"/>
    <w:rsid w:val="00CF455E"/>
    <w:rsid w:val="00D02B35"/>
    <w:rsid w:val="00D02F3E"/>
    <w:rsid w:val="00D0396F"/>
    <w:rsid w:val="00D03BEF"/>
    <w:rsid w:val="00D1214F"/>
    <w:rsid w:val="00D12A15"/>
    <w:rsid w:val="00D15BFE"/>
    <w:rsid w:val="00D23235"/>
    <w:rsid w:val="00D431E5"/>
    <w:rsid w:val="00D4445C"/>
    <w:rsid w:val="00D47761"/>
    <w:rsid w:val="00D52307"/>
    <w:rsid w:val="00D53463"/>
    <w:rsid w:val="00D57AE9"/>
    <w:rsid w:val="00D71347"/>
    <w:rsid w:val="00D73022"/>
    <w:rsid w:val="00D81E4D"/>
    <w:rsid w:val="00D93BE0"/>
    <w:rsid w:val="00D958C2"/>
    <w:rsid w:val="00DA4C07"/>
    <w:rsid w:val="00DA722D"/>
    <w:rsid w:val="00DB4127"/>
    <w:rsid w:val="00DC069B"/>
    <w:rsid w:val="00DC3CDB"/>
    <w:rsid w:val="00DD39E5"/>
    <w:rsid w:val="00E032B5"/>
    <w:rsid w:val="00E0409A"/>
    <w:rsid w:val="00E22A2E"/>
    <w:rsid w:val="00E261B6"/>
    <w:rsid w:val="00E33FC0"/>
    <w:rsid w:val="00E3660B"/>
    <w:rsid w:val="00E528EE"/>
    <w:rsid w:val="00E53717"/>
    <w:rsid w:val="00E6225C"/>
    <w:rsid w:val="00E80FC6"/>
    <w:rsid w:val="00E84F54"/>
    <w:rsid w:val="00E9153C"/>
    <w:rsid w:val="00EA3046"/>
    <w:rsid w:val="00EB1BA3"/>
    <w:rsid w:val="00EB6677"/>
    <w:rsid w:val="00EB6DB0"/>
    <w:rsid w:val="00EC2C85"/>
    <w:rsid w:val="00EC31BF"/>
    <w:rsid w:val="00EC4D5E"/>
    <w:rsid w:val="00ED401D"/>
    <w:rsid w:val="00ED4DB5"/>
    <w:rsid w:val="00ED51A5"/>
    <w:rsid w:val="00EE00B8"/>
    <w:rsid w:val="00EE6BFA"/>
    <w:rsid w:val="00EF228C"/>
    <w:rsid w:val="00F02E1B"/>
    <w:rsid w:val="00F05168"/>
    <w:rsid w:val="00F10F13"/>
    <w:rsid w:val="00F17C4E"/>
    <w:rsid w:val="00F24E32"/>
    <w:rsid w:val="00F41AB0"/>
    <w:rsid w:val="00F45C84"/>
    <w:rsid w:val="00F541B9"/>
    <w:rsid w:val="00F56FA9"/>
    <w:rsid w:val="00F62BC7"/>
    <w:rsid w:val="00F65916"/>
    <w:rsid w:val="00F665DD"/>
    <w:rsid w:val="00F717CF"/>
    <w:rsid w:val="00F83ED1"/>
    <w:rsid w:val="00F843EA"/>
    <w:rsid w:val="00F866B6"/>
    <w:rsid w:val="00F9438C"/>
    <w:rsid w:val="00F96B47"/>
    <w:rsid w:val="00F97A3B"/>
    <w:rsid w:val="00FA1E50"/>
    <w:rsid w:val="00FA5E40"/>
    <w:rsid w:val="00FB5551"/>
    <w:rsid w:val="00FB7675"/>
    <w:rsid w:val="00FC4AF5"/>
    <w:rsid w:val="00FD0DE8"/>
    <w:rsid w:val="00FD1527"/>
    <w:rsid w:val="00FD22FA"/>
    <w:rsid w:val="00FD3291"/>
    <w:rsid w:val="00FE5E52"/>
    <w:rsid w:val="00FF5C4F"/>
    <w:rsid w:val="023E3D8B"/>
    <w:rsid w:val="03991DF6"/>
    <w:rsid w:val="061816F7"/>
    <w:rsid w:val="06BA6064"/>
    <w:rsid w:val="0737795B"/>
    <w:rsid w:val="086C3A97"/>
    <w:rsid w:val="089F7EAE"/>
    <w:rsid w:val="08BA4CE8"/>
    <w:rsid w:val="0A1E0BB3"/>
    <w:rsid w:val="0BBC392D"/>
    <w:rsid w:val="0C232BA4"/>
    <w:rsid w:val="0C3703FE"/>
    <w:rsid w:val="0CAD2536"/>
    <w:rsid w:val="0D0E73B0"/>
    <w:rsid w:val="0E1750FB"/>
    <w:rsid w:val="10017F38"/>
    <w:rsid w:val="106E1F77"/>
    <w:rsid w:val="120945EA"/>
    <w:rsid w:val="1252110F"/>
    <w:rsid w:val="140E7C96"/>
    <w:rsid w:val="15227E9D"/>
    <w:rsid w:val="15B12FCF"/>
    <w:rsid w:val="15BF393E"/>
    <w:rsid w:val="163318EC"/>
    <w:rsid w:val="163848E1"/>
    <w:rsid w:val="16D03928"/>
    <w:rsid w:val="180C273E"/>
    <w:rsid w:val="188F394A"/>
    <w:rsid w:val="18F04FD2"/>
    <w:rsid w:val="193F08F1"/>
    <w:rsid w:val="194A79C2"/>
    <w:rsid w:val="19780B7B"/>
    <w:rsid w:val="1A345F7C"/>
    <w:rsid w:val="1B68711F"/>
    <w:rsid w:val="1B8B40F1"/>
    <w:rsid w:val="1C2C1B1A"/>
    <w:rsid w:val="205C7FDB"/>
    <w:rsid w:val="20FF5536"/>
    <w:rsid w:val="21C63DBA"/>
    <w:rsid w:val="2226613B"/>
    <w:rsid w:val="22592A24"/>
    <w:rsid w:val="22B473B8"/>
    <w:rsid w:val="233F1C1A"/>
    <w:rsid w:val="235F050E"/>
    <w:rsid w:val="24F26FF6"/>
    <w:rsid w:val="254778C3"/>
    <w:rsid w:val="259C77F7"/>
    <w:rsid w:val="259D3570"/>
    <w:rsid w:val="25B368EF"/>
    <w:rsid w:val="25DA2AA8"/>
    <w:rsid w:val="26114D9B"/>
    <w:rsid w:val="26786977"/>
    <w:rsid w:val="26906C30"/>
    <w:rsid w:val="26ED2E1E"/>
    <w:rsid w:val="27A75FE0"/>
    <w:rsid w:val="27F84A8D"/>
    <w:rsid w:val="29180221"/>
    <w:rsid w:val="29F951E7"/>
    <w:rsid w:val="2BA233C8"/>
    <w:rsid w:val="2BBE7D9C"/>
    <w:rsid w:val="2BC87603"/>
    <w:rsid w:val="2C55425C"/>
    <w:rsid w:val="2C882884"/>
    <w:rsid w:val="2CB2345D"/>
    <w:rsid w:val="2DA3549B"/>
    <w:rsid w:val="2EFE3B91"/>
    <w:rsid w:val="2F6A001E"/>
    <w:rsid w:val="305864BB"/>
    <w:rsid w:val="31394B39"/>
    <w:rsid w:val="317038E6"/>
    <w:rsid w:val="32110C25"/>
    <w:rsid w:val="32E60304"/>
    <w:rsid w:val="32F522F5"/>
    <w:rsid w:val="32F56B41"/>
    <w:rsid w:val="3435726A"/>
    <w:rsid w:val="34BD557C"/>
    <w:rsid w:val="351F5D4F"/>
    <w:rsid w:val="36C721FA"/>
    <w:rsid w:val="36CA6903"/>
    <w:rsid w:val="372C4753"/>
    <w:rsid w:val="38887767"/>
    <w:rsid w:val="388D4D7E"/>
    <w:rsid w:val="3A8521B0"/>
    <w:rsid w:val="3B9C3C56"/>
    <w:rsid w:val="3C5502A8"/>
    <w:rsid w:val="3CD15B81"/>
    <w:rsid w:val="3D7309E6"/>
    <w:rsid w:val="3E175815"/>
    <w:rsid w:val="3E190FD5"/>
    <w:rsid w:val="3E2B7513"/>
    <w:rsid w:val="3E2D5406"/>
    <w:rsid w:val="3FA56554"/>
    <w:rsid w:val="40462B81"/>
    <w:rsid w:val="40D45C40"/>
    <w:rsid w:val="411E2251"/>
    <w:rsid w:val="41CE12BB"/>
    <w:rsid w:val="41D6046E"/>
    <w:rsid w:val="41E33C60"/>
    <w:rsid w:val="43340C18"/>
    <w:rsid w:val="43994F1E"/>
    <w:rsid w:val="4450512E"/>
    <w:rsid w:val="44823C05"/>
    <w:rsid w:val="44F22B38"/>
    <w:rsid w:val="450D1720"/>
    <w:rsid w:val="451736D2"/>
    <w:rsid w:val="4644366A"/>
    <w:rsid w:val="46D22C21"/>
    <w:rsid w:val="47361802"/>
    <w:rsid w:val="480D7C89"/>
    <w:rsid w:val="480F3A01"/>
    <w:rsid w:val="498D72D3"/>
    <w:rsid w:val="4B614574"/>
    <w:rsid w:val="4C5145E8"/>
    <w:rsid w:val="4C843948"/>
    <w:rsid w:val="4C9A5FDC"/>
    <w:rsid w:val="4CD11285"/>
    <w:rsid w:val="4DAB5F7A"/>
    <w:rsid w:val="4E093DCF"/>
    <w:rsid w:val="4E9702AC"/>
    <w:rsid w:val="4FDD4DBF"/>
    <w:rsid w:val="4FE3451C"/>
    <w:rsid w:val="503F29AA"/>
    <w:rsid w:val="526E7576"/>
    <w:rsid w:val="52DB10B0"/>
    <w:rsid w:val="55077FE2"/>
    <w:rsid w:val="5596306C"/>
    <w:rsid w:val="56DD7A61"/>
    <w:rsid w:val="570D4289"/>
    <w:rsid w:val="57601B83"/>
    <w:rsid w:val="57B3177F"/>
    <w:rsid w:val="59995840"/>
    <w:rsid w:val="5C5D2B35"/>
    <w:rsid w:val="5C7E485A"/>
    <w:rsid w:val="5C846314"/>
    <w:rsid w:val="5DAF0B7E"/>
    <w:rsid w:val="5DD010E5"/>
    <w:rsid w:val="5E426224"/>
    <w:rsid w:val="5F013C4C"/>
    <w:rsid w:val="60A55485"/>
    <w:rsid w:val="612E4AA0"/>
    <w:rsid w:val="627D7A8D"/>
    <w:rsid w:val="629D0130"/>
    <w:rsid w:val="62B2525D"/>
    <w:rsid w:val="63DA786B"/>
    <w:rsid w:val="649C7F73"/>
    <w:rsid w:val="64D23548"/>
    <w:rsid w:val="656767D3"/>
    <w:rsid w:val="67332E10"/>
    <w:rsid w:val="68F06778"/>
    <w:rsid w:val="696977F9"/>
    <w:rsid w:val="6A7C4ACE"/>
    <w:rsid w:val="6A8C32C1"/>
    <w:rsid w:val="6B657311"/>
    <w:rsid w:val="6BE47535"/>
    <w:rsid w:val="6BE97F42"/>
    <w:rsid w:val="6C8859AD"/>
    <w:rsid w:val="6D21350E"/>
    <w:rsid w:val="6D7F473C"/>
    <w:rsid w:val="6D8F4B19"/>
    <w:rsid w:val="6E9D3265"/>
    <w:rsid w:val="6F3B4F58"/>
    <w:rsid w:val="6FC6039D"/>
    <w:rsid w:val="6FF84BF7"/>
    <w:rsid w:val="71AD1A11"/>
    <w:rsid w:val="72C15774"/>
    <w:rsid w:val="757545F4"/>
    <w:rsid w:val="758F02F1"/>
    <w:rsid w:val="76962A74"/>
    <w:rsid w:val="77A679AA"/>
    <w:rsid w:val="77E67A2B"/>
    <w:rsid w:val="78F3091E"/>
    <w:rsid w:val="79492020"/>
    <w:rsid w:val="7AD017AC"/>
    <w:rsid w:val="7B6B1565"/>
    <w:rsid w:val="7C263C45"/>
    <w:rsid w:val="7C2D5C29"/>
    <w:rsid w:val="7D5214C2"/>
    <w:rsid w:val="7F054C3B"/>
    <w:rsid w:val="7FF863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Date"/>
    <w:basedOn w:val="1"/>
    <w:next w:val="1"/>
    <w:qFormat/>
    <w:uiPriority w:val="0"/>
    <w:pPr>
      <w:ind w:left="100" w:leftChars="25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w:basedOn w:val="2"/>
    <w:qFormat/>
    <w:uiPriority w:val="0"/>
    <w:pPr>
      <w:ind w:firstLine="420" w:firstLineChars="100"/>
    </w:pPr>
  </w:style>
  <w:style w:type="character" w:styleId="9">
    <w:name w:val="page number"/>
    <w:basedOn w:val="8"/>
    <w:qFormat/>
    <w:uiPriority w:val="0"/>
  </w:style>
  <w:style w:type="character" w:styleId="10">
    <w:name w:val="Hyperlink"/>
    <w:basedOn w:val="8"/>
    <w:qFormat/>
    <w:uiPriority w:val="0"/>
    <w:rPr>
      <w:color w:val="0000FF"/>
      <w:u w:val="single"/>
    </w:rPr>
  </w:style>
  <w:style w:type="character" w:customStyle="1" w:styleId="11">
    <w:name w:val="answerref"/>
    <w:basedOn w:val="8"/>
    <w:qFormat/>
    <w:uiPriority w:val="0"/>
  </w:style>
  <w:style w:type="paragraph" w:customStyle="1" w:styleId="1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4">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WWW.YlmF.CoM</Company>
  <Pages>5</Pages>
  <Words>419</Words>
  <Characters>2392</Characters>
  <Lines>19</Lines>
  <Paragraphs>5</Paragraphs>
  <TotalTime>0</TotalTime>
  <ScaleCrop>false</ScaleCrop>
  <LinksUpToDate>false</LinksUpToDate>
  <CharactersWithSpaces>2806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2021-03-16T21:04:00Z</dcterms:created>
  <dc:creator>雨林木风</dc:creator>
  <cp:lastModifiedBy>罗雪莹</cp:lastModifiedBy>
  <cp:lastPrinted>2017-02-20T21:54:00Z</cp:lastPrinted>
  <dcterms:modified xsi:type="dcterms:W3CDTF">2022-12-08T07:54:55Z</dcterms:modified>
  <dc:title>联盟标准《铂、钯饰品合金成分》</dc:title>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7B1A9B2AF5B64AF98B27EA5B4693BD45</vt:lpwstr>
  </property>
</Properties>
</file>