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18K金钻石饰品</w:t>
      </w:r>
      <w:r>
        <w:rPr>
          <w:rFonts w:hint="eastAsia" w:ascii="黑体" w:hAnsi="黑体" w:eastAsia="黑体"/>
          <w:sz w:val="32"/>
          <w:szCs w:val="32"/>
        </w:rPr>
        <w:t>》编制说明</w:t>
      </w:r>
    </w:p>
    <w:p>
      <w:pPr>
        <w:numPr>
          <w:ilvl w:val="0"/>
          <w:numId w:val="1"/>
        </w:numPr>
        <w:tabs>
          <w:tab w:val="left" w:pos="540"/>
          <w:tab w:val="clear" w:pos="720"/>
        </w:tabs>
        <w:spacing w:line="360" w:lineRule="auto"/>
        <w:ind w:left="360" w:hanging="360"/>
        <w:rPr>
          <w:rFonts w:ascii="黑体" w:hAnsi="黑体" w:eastAsia="黑体"/>
          <w:sz w:val="28"/>
          <w:szCs w:val="28"/>
        </w:rPr>
      </w:pPr>
      <w:r>
        <w:rPr>
          <w:rFonts w:hint="eastAsia" w:ascii="黑体" w:hAnsi="黑体" w:eastAsia="黑体"/>
          <w:sz w:val="28"/>
          <w:szCs w:val="28"/>
        </w:rPr>
        <w:t>工作概况</w:t>
      </w:r>
    </w:p>
    <w:p>
      <w:pPr>
        <w:spacing w:line="360" w:lineRule="auto"/>
        <w:ind w:firstLine="480" w:firstLineChars="200"/>
        <w:rPr>
          <w:rFonts w:ascii="黑体" w:hAnsi="黑体" w:eastAsia="黑体"/>
          <w:sz w:val="24"/>
        </w:rPr>
      </w:pPr>
      <w:r>
        <w:rPr>
          <w:rFonts w:hint="eastAsia" w:ascii="黑体" w:hAnsi="黑体" w:eastAsia="黑体"/>
          <w:sz w:val="24"/>
        </w:rPr>
        <w:t>1、任务来源</w:t>
      </w:r>
    </w:p>
    <w:p>
      <w:pPr>
        <w:widowControl/>
        <w:spacing w:line="360" w:lineRule="auto"/>
        <w:ind w:firstLine="480" w:firstLineChars="200"/>
        <w:jc w:val="left"/>
        <w:rPr>
          <w:rFonts w:ascii="宋体" w:hAnsi="宋体"/>
          <w:sz w:val="24"/>
        </w:rPr>
      </w:pPr>
      <w:r>
        <w:rPr>
          <w:rFonts w:hint="eastAsia" w:ascii="宋体" w:hAnsi="宋体"/>
          <w:sz w:val="24"/>
          <w:lang w:val="en-US" w:eastAsia="zh-CN"/>
        </w:rPr>
        <w:t>本标准由深圳市宝联珠宝标准与信息技术促进中心提出，按照GB/T 1.1-2020的规定起草。本标准主要起草单位：深圳市星光达珠宝首饰实业有限公司、深圳市宝联珠宝标准与信息技术促进中心。</w:t>
      </w:r>
    </w:p>
    <w:p>
      <w:pPr>
        <w:spacing w:line="360" w:lineRule="auto"/>
        <w:ind w:left="359" w:leftChars="171" w:firstLine="120" w:firstLineChars="50"/>
        <w:rPr>
          <w:rFonts w:hint="eastAsia" w:ascii="黑体" w:hAnsi="黑体" w:eastAsia="黑体"/>
          <w:sz w:val="24"/>
          <w:lang w:eastAsia="zh-CN"/>
        </w:rPr>
      </w:pPr>
      <w:r>
        <w:rPr>
          <w:rFonts w:hint="eastAsia" w:ascii="黑体" w:hAnsi="黑体" w:eastAsia="黑体"/>
          <w:sz w:val="24"/>
        </w:rPr>
        <w:t>2、主要工作过程</w:t>
      </w:r>
    </w:p>
    <w:p>
      <w:pPr>
        <w:spacing w:line="360" w:lineRule="auto"/>
        <w:ind w:firstLine="480" w:firstLineChars="200"/>
        <w:rPr>
          <w:b w:val="0"/>
          <w:bCs w:val="0"/>
          <w:color w:val="auto"/>
          <w:sz w:val="24"/>
        </w:rPr>
      </w:pPr>
      <w:r>
        <w:rPr>
          <w:rFonts w:hint="eastAsia"/>
          <w:b w:val="0"/>
          <w:bCs w:val="0"/>
          <w:color w:val="auto"/>
          <w:sz w:val="24"/>
        </w:rPr>
        <w:t>（1）起草（草案、论证）阶段：</w:t>
      </w:r>
      <w:r>
        <w:rPr>
          <w:b w:val="0"/>
          <w:bCs w:val="0"/>
          <w:color w:val="auto"/>
          <w:sz w:val="24"/>
        </w:rPr>
        <w:t>202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5月</w:t>
      </w:r>
      <w:r>
        <w:rPr>
          <w:rFonts w:hint="eastAsia"/>
          <w:b w:val="0"/>
          <w:bCs w:val="0"/>
          <w:color w:val="auto"/>
          <w:sz w:val="24"/>
        </w:rPr>
        <w:t>立项，主要起草单位正式征集工作组成员，工作组成员主要为</w:t>
      </w:r>
      <w:r>
        <w:rPr>
          <w:rFonts w:hint="eastAsia" w:ascii="宋体" w:hAnsi="宋体"/>
          <w:sz w:val="24"/>
          <w:lang w:val="en-US" w:eastAsia="zh-CN"/>
        </w:rPr>
        <w:t>深圳市星光达珠宝首饰实业有限公司、深圳市宝联珠宝标准与信息技术促进中心等企业</w:t>
      </w:r>
      <w:r>
        <w:rPr>
          <w:rFonts w:hint="eastAsia"/>
          <w:b w:val="0"/>
          <w:bCs w:val="0"/>
          <w:color w:val="auto"/>
          <w:sz w:val="24"/>
        </w:rPr>
        <w:t>技术代表；20</w:t>
      </w:r>
      <w:r>
        <w:rPr>
          <w:b w:val="0"/>
          <w:bCs w:val="0"/>
          <w:color w:val="auto"/>
          <w:sz w:val="24"/>
        </w:rPr>
        <w:t>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6</w:t>
      </w:r>
      <w:r>
        <w:rPr>
          <w:rFonts w:hint="eastAsia"/>
          <w:b w:val="0"/>
          <w:bCs w:val="0"/>
          <w:color w:val="auto"/>
          <w:sz w:val="24"/>
        </w:rPr>
        <w:t>月，</w:t>
      </w:r>
      <w:r>
        <w:rPr>
          <w:rFonts w:hint="eastAsia"/>
          <w:b w:val="0"/>
          <w:bCs w:val="0"/>
          <w:color w:val="auto"/>
          <w:sz w:val="24"/>
          <w:lang w:val="en-US" w:eastAsia="zh-CN"/>
        </w:rPr>
        <w:t>工作组</w:t>
      </w:r>
      <w:r>
        <w:rPr>
          <w:rFonts w:hint="eastAsia"/>
          <w:b w:val="0"/>
          <w:bCs w:val="0"/>
          <w:color w:val="auto"/>
          <w:sz w:val="24"/>
        </w:rPr>
        <w:t>编制标准大纲；2</w:t>
      </w:r>
      <w:r>
        <w:rPr>
          <w:b w:val="0"/>
          <w:bCs w:val="0"/>
          <w:color w:val="auto"/>
          <w:sz w:val="24"/>
        </w:rPr>
        <w:t>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6</w:t>
      </w:r>
      <w:r>
        <w:rPr>
          <w:rFonts w:hint="eastAsia"/>
          <w:b w:val="0"/>
          <w:bCs w:val="0"/>
          <w:color w:val="auto"/>
          <w:sz w:val="24"/>
        </w:rPr>
        <w:t>月</w:t>
      </w:r>
      <w:r>
        <w:rPr>
          <w:rFonts w:hint="eastAsia"/>
          <w:b w:val="0"/>
          <w:bCs w:val="0"/>
          <w:color w:val="auto"/>
          <w:sz w:val="24"/>
          <w:lang w:val="en-US" w:eastAsia="zh-CN"/>
        </w:rPr>
        <w:t>底</w:t>
      </w:r>
      <w:r>
        <w:rPr>
          <w:rFonts w:hint="eastAsia"/>
          <w:b w:val="0"/>
          <w:bCs w:val="0"/>
          <w:color w:val="auto"/>
          <w:sz w:val="24"/>
        </w:rPr>
        <w:t>，开展工作组讨论会，修改标准大纲；</w:t>
      </w:r>
      <w:r>
        <w:rPr>
          <w:b w:val="0"/>
          <w:bCs w:val="0"/>
          <w:color w:val="auto"/>
          <w:sz w:val="24"/>
        </w:rPr>
        <w:t>202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7</w:t>
      </w:r>
      <w:r>
        <w:rPr>
          <w:rFonts w:hint="eastAsia"/>
          <w:b w:val="0"/>
          <w:bCs w:val="0"/>
          <w:color w:val="auto"/>
          <w:sz w:val="24"/>
        </w:rPr>
        <w:t>月，形成正式草案；2</w:t>
      </w:r>
      <w:r>
        <w:rPr>
          <w:b w:val="0"/>
          <w:bCs w:val="0"/>
          <w:color w:val="auto"/>
          <w:sz w:val="24"/>
        </w:rPr>
        <w:t>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7</w:t>
      </w:r>
      <w:r>
        <w:rPr>
          <w:rFonts w:hint="eastAsia"/>
          <w:b w:val="0"/>
          <w:bCs w:val="0"/>
          <w:color w:val="auto"/>
          <w:sz w:val="24"/>
        </w:rPr>
        <w:t>月，</w:t>
      </w:r>
      <w:r>
        <w:rPr>
          <w:b w:val="0"/>
          <w:bCs w:val="0"/>
          <w:color w:val="auto"/>
          <w:sz w:val="24"/>
        </w:rPr>
        <w:t>工作组广泛征集</w:t>
      </w:r>
      <w:r>
        <w:rPr>
          <w:rFonts w:hint="eastAsia"/>
          <w:b w:val="0"/>
          <w:bCs w:val="0"/>
          <w:color w:val="auto"/>
          <w:sz w:val="24"/>
        </w:rPr>
        <w:t>行业企业和行业专家</w:t>
      </w:r>
      <w:r>
        <w:rPr>
          <w:b w:val="0"/>
          <w:bCs w:val="0"/>
          <w:color w:val="auto"/>
          <w:sz w:val="24"/>
        </w:rPr>
        <w:t>意见，反复对</w:t>
      </w:r>
      <w:r>
        <w:rPr>
          <w:rFonts w:hint="eastAsia"/>
          <w:b w:val="0"/>
          <w:bCs w:val="0"/>
          <w:color w:val="auto"/>
          <w:sz w:val="24"/>
          <w:lang w:val="en-US" w:eastAsia="zh-CN"/>
        </w:rPr>
        <w:t>标准草案</w:t>
      </w:r>
      <w:r>
        <w:rPr>
          <w:b w:val="0"/>
          <w:bCs w:val="0"/>
          <w:color w:val="auto"/>
          <w:sz w:val="24"/>
        </w:rPr>
        <w:t>进行讨论修改，形成</w:t>
      </w:r>
      <w:r>
        <w:rPr>
          <w:rFonts w:hint="eastAsia"/>
          <w:b w:val="0"/>
          <w:bCs w:val="0"/>
          <w:color w:val="auto"/>
          <w:sz w:val="24"/>
          <w:lang w:val="en-US" w:eastAsia="zh-CN"/>
        </w:rPr>
        <w:t>征求意见稿</w:t>
      </w:r>
      <w:r>
        <w:rPr>
          <w:rFonts w:hint="eastAsia"/>
          <w:b w:val="0"/>
          <w:bCs w:val="0"/>
          <w:color w:val="auto"/>
          <w:sz w:val="24"/>
        </w:rPr>
        <w:t>和编制说明等文件；</w:t>
      </w:r>
    </w:p>
    <w:p>
      <w:pPr>
        <w:spacing w:line="360" w:lineRule="auto"/>
        <w:ind w:firstLine="480" w:firstLineChars="200"/>
        <w:rPr>
          <w:rFonts w:hint="eastAsia"/>
          <w:b w:val="0"/>
          <w:bCs w:val="0"/>
          <w:color w:val="auto"/>
          <w:sz w:val="24"/>
        </w:rPr>
      </w:pPr>
      <w:r>
        <w:rPr>
          <w:rFonts w:hint="eastAsia"/>
          <w:b w:val="0"/>
          <w:bCs w:val="0"/>
          <w:color w:val="auto"/>
          <w:sz w:val="24"/>
        </w:rPr>
        <w:t>（2）征求意见阶段：</w:t>
      </w:r>
      <w:r>
        <w:rPr>
          <w:b w:val="0"/>
          <w:bCs w:val="0"/>
          <w:color w:val="auto"/>
          <w:sz w:val="24"/>
        </w:rPr>
        <w:t>202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8</w:t>
      </w:r>
      <w:r>
        <w:rPr>
          <w:rFonts w:hint="eastAsia"/>
          <w:b w:val="0"/>
          <w:bCs w:val="0"/>
          <w:color w:val="auto"/>
          <w:sz w:val="24"/>
        </w:rPr>
        <w:t>月</w:t>
      </w:r>
      <w:r>
        <w:rPr>
          <w:rFonts w:hint="eastAsia"/>
          <w:b w:val="0"/>
          <w:bCs w:val="0"/>
          <w:color w:val="auto"/>
          <w:sz w:val="24"/>
          <w:lang w:eastAsia="zh-CN"/>
        </w:rPr>
        <w:t>，面向联盟成员单位征求意见；</w:t>
      </w:r>
      <w:r>
        <w:rPr>
          <w:rFonts w:hint="eastAsia"/>
          <w:b w:val="0"/>
          <w:bCs w:val="0"/>
          <w:color w:val="auto"/>
          <w:sz w:val="24"/>
          <w:lang w:val="en-US" w:eastAsia="zh-CN"/>
        </w:rPr>
        <w:t>2022年10月，汇总征求意见表，对标准文本进行修改，形成送审稿和编制说明等文件，并送审；</w:t>
      </w:r>
    </w:p>
    <w:p>
      <w:pPr>
        <w:spacing w:before="156" w:beforeLines="50" w:after="156" w:afterLines="50" w:line="360" w:lineRule="auto"/>
        <w:ind w:left="359" w:leftChars="171" w:firstLine="120" w:firstLineChars="50"/>
        <w:rPr>
          <w:rFonts w:ascii="黑体" w:hAnsi="黑体" w:eastAsia="黑体"/>
          <w:sz w:val="24"/>
        </w:rPr>
      </w:pPr>
      <w:bookmarkStart w:id="0" w:name="_GoBack"/>
      <w:bookmarkEnd w:id="0"/>
      <w:r>
        <w:rPr>
          <w:rFonts w:hint="eastAsia" w:ascii="黑体" w:hAnsi="黑体" w:eastAsia="黑体"/>
          <w:sz w:val="24"/>
        </w:rPr>
        <w:t>3、</w:t>
      </w:r>
      <w:r>
        <w:rPr>
          <w:rFonts w:ascii="黑体" w:hAnsi="黑体" w:eastAsia="黑体"/>
          <w:kern w:val="0"/>
          <w:sz w:val="24"/>
        </w:rPr>
        <w:t>主要参加单位和工作组成员及其所做的工作</w:t>
      </w:r>
    </w:p>
    <w:p>
      <w:pPr>
        <w:widowControl/>
        <w:spacing w:line="360" w:lineRule="auto"/>
        <w:ind w:firstLine="480" w:firstLineChars="200"/>
        <w:jc w:val="left"/>
        <w:rPr>
          <w:sz w:val="24"/>
        </w:rPr>
      </w:pPr>
      <w:r>
        <w:rPr>
          <w:rFonts w:hint="eastAsia"/>
          <w:sz w:val="24"/>
        </w:rPr>
        <w:t>本标准</w:t>
      </w:r>
      <w:r>
        <w:rPr>
          <w:rFonts w:hint="eastAsia" w:ascii="宋体" w:hAnsi="宋体"/>
          <w:sz w:val="24"/>
        </w:rPr>
        <w:t>由深圳市星光达珠宝首饰实业有限公司、深圳宝福珠宝有限公司、深圳市甘露珠宝首饰有限公司、深圳市翠绿首饰制造有限公司、深圳市吉盟珠宝股份有限公司、深圳市缘与美实业有限公司、周大生珠宝股份有限公司、东莞市金龙珠宝首饰有限公司、深圳市宝联珠宝标准与信息技术促进中心、深圳市完美爱钻石有限公司、深圳先示珠宝首饰工业设计研究院有限公司、深圳市瑞麒珠宝首饰有限公司</w:t>
      </w:r>
      <w:r>
        <w:rPr>
          <w:rFonts w:hint="eastAsia" w:ascii="宋体" w:hAnsi="宋体"/>
          <w:sz w:val="24"/>
          <w:lang w:val="en-US" w:eastAsia="zh-CN"/>
        </w:rPr>
        <w:t>共同编制</w:t>
      </w:r>
      <w:r>
        <w:rPr>
          <w:rFonts w:hint="eastAsia"/>
          <w:sz w:val="24"/>
        </w:rPr>
        <w:t>。</w:t>
      </w:r>
    </w:p>
    <w:p>
      <w:pPr>
        <w:widowControl/>
        <w:spacing w:line="360" w:lineRule="auto"/>
        <w:ind w:firstLine="480" w:firstLineChars="200"/>
        <w:jc w:val="left"/>
        <w:rPr>
          <w:color w:val="auto"/>
          <w:sz w:val="24"/>
        </w:rPr>
      </w:pPr>
      <w:r>
        <w:rPr>
          <w:rFonts w:hint="eastAsia"/>
          <w:color w:val="auto"/>
          <w:sz w:val="24"/>
        </w:rPr>
        <w:t>主要成员：林畅伟</w:t>
      </w:r>
      <w:r>
        <w:rPr>
          <w:rFonts w:hint="eastAsia"/>
          <w:color w:val="auto"/>
          <w:sz w:val="24"/>
          <w:lang w:eastAsia="zh-CN"/>
        </w:rPr>
        <w:t>、</w:t>
      </w:r>
      <w:r>
        <w:rPr>
          <w:rFonts w:hint="eastAsia"/>
          <w:color w:val="auto"/>
          <w:sz w:val="24"/>
        </w:rPr>
        <w:t>徐兴阳</w:t>
      </w:r>
      <w:r>
        <w:rPr>
          <w:rFonts w:hint="eastAsia"/>
          <w:color w:val="auto"/>
          <w:sz w:val="24"/>
          <w:lang w:eastAsia="zh-CN"/>
        </w:rPr>
        <w:t>、</w:t>
      </w:r>
      <w:r>
        <w:rPr>
          <w:rFonts w:hint="eastAsia"/>
          <w:color w:val="auto"/>
          <w:sz w:val="24"/>
        </w:rPr>
        <w:t>林南坤</w:t>
      </w:r>
      <w:r>
        <w:rPr>
          <w:rFonts w:hint="eastAsia"/>
          <w:color w:val="auto"/>
          <w:sz w:val="24"/>
          <w:lang w:eastAsia="zh-CN"/>
        </w:rPr>
        <w:t>、</w:t>
      </w:r>
      <w:r>
        <w:rPr>
          <w:rFonts w:hint="eastAsia"/>
          <w:color w:val="auto"/>
          <w:sz w:val="24"/>
        </w:rPr>
        <w:t>刘成</w:t>
      </w:r>
      <w:r>
        <w:rPr>
          <w:rFonts w:hint="eastAsia"/>
          <w:color w:val="auto"/>
          <w:sz w:val="24"/>
          <w:lang w:eastAsia="zh-CN"/>
        </w:rPr>
        <w:t>、</w:t>
      </w:r>
      <w:r>
        <w:rPr>
          <w:rFonts w:hint="eastAsia"/>
          <w:color w:val="auto"/>
          <w:sz w:val="24"/>
        </w:rPr>
        <w:t>李章平</w:t>
      </w:r>
      <w:r>
        <w:rPr>
          <w:rFonts w:hint="eastAsia"/>
          <w:color w:val="auto"/>
          <w:sz w:val="24"/>
          <w:lang w:eastAsia="zh-CN"/>
        </w:rPr>
        <w:t>、</w:t>
      </w:r>
      <w:r>
        <w:rPr>
          <w:rFonts w:hint="eastAsia"/>
          <w:color w:val="auto"/>
          <w:sz w:val="24"/>
        </w:rPr>
        <w:t>高婷</w:t>
      </w:r>
      <w:r>
        <w:rPr>
          <w:rFonts w:hint="eastAsia"/>
          <w:color w:val="auto"/>
          <w:sz w:val="24"/>
          <w:lang w:eastAsia="zh-CN"/>
        </w:rPr>
        <w:t>、</w:t>
      </w:r>
      <w:r>
        <w:rPr>
          <w:rFonts w:hint="eastAsia"/>
          <w:color w:val="auto"/>
          <w:sz w:val="24"/>
        </w:rPr>
        <w:t>罗雪莹</w:t>
      </w:r>
      <w:r>
        <w:rPr>
          <w:rFonts w:hint="eastAsia"/>
          <w:color w:val="auto"/>
          <w:sz w:val="24"/>
          <w:lang w:val="en-US" w:eastAsia="zh-CN"/>
        </w:rPr>
        <w:t>。</w:t>
      </w:r>
    </w:p>
    <w:p>
      <w:pPr>
        <w:widowControl/>
        <w:spacing w:line="360" w:lineRule="auto"/>
        <w:ind w:firstLine="480" w:firstLineChars="200"/>
        <w:jc w:val="left"/>
        <w:rPr>
          <w:sz w:val="24"/>
        </w:rPr>
      </w:pPr>
      <w:r>
        <w:rPr>
          <w:rFonts w:hint="eastAsia"/>
          <w:sz w:val="24"/>
        </w:rPr>
        <w:t>所做的工作：</w:t>
      </w:r>
      <w:r>
        <w:rPr>
          <w:rFonts w:hint="eastAsia"/>
          <w:color w:val="auto"/>
          <w:sz w:val="24"/>
        </w:rPr>
        <w:t>林畅伟</w:t>
      </w:r>
      <w:r>
        <w:rPr>
          <w:rFonts w:hint="eastAsia"/>
          <w:sz w:val="24"/>
        </w:rPr>
        <w:t>负责</w:t>
      </w:r>
      <w:r>
        <w:rPr>
          <w:sz w:val="24"/>
        </w:rPr>
        <w:t>法律法规及定稿把关</w:t>
      </w:r>
      <w:r>
        <w:rPr>
          <w:rFonts w:hint="eastAsia"/>
          <w:sz w:val="24"/>
        </w:rPr>
        <w:t>；</w:t>
      </w:r>
      <w:r>
        <w:rPr>
          <w:rFonts w:hint="eastAsia"/>
          <w:color w:val="auto"/>
          <w:sz w:val="24"/>
        </w:rPr>
        <w:t>李章平</w:t>
      </w:r>
      <w:r>
        <w:rPr>
          <w:sz w:val="24"/>
        </w:rPr>
        <w:t>负责标准文本的审核修改及与意见单位的沟通</w:t>
      </w:r>
      <w:r>
        <w:rPr>
          <w:rFonts w:hint="eastAsia"/>
          <w:sz w:val="24"/>
        </w:rPr>
        <w:t>；</w:t>
      </w:r>
      <w:r>
        <w:rPr>
          <w:rFonts w:hint="eastAsia"/>
          <w:color w:val="auto"/>
          <w:sz w:val="24"/>
        </w:rPr>
        <w:t>徐兴阳</w:t>
      </w:r>
      <w:r>
        <w:rPr>
          <w:rFonts w:hint="eastAsia"/>
          <w:color w:val="auto"/>
          <w:sz w:val="24"/>
          <w:lang w:eastAsia="zh-CN"/>
        </w:rPr>
        <w:t>、</w:t>
      </w:r>
      <w:r>
        <w:rPr>
          <w:rFonts w:hint="eastAsia"/>
          <w:color w:val="auto"/>
          <w:sz w:val="24"/>
        </w:rPr>
        <w:t>林南坤</w:t>
      </w:r>
      <w:r>
        <w:rPr>
          <w:rFonts w:hint="eastAsia"/>
          <w:color w:val="auto"/>
          <w:sz w:val="24"/>
          <w:lang w:eastAsia="zh-CN"/>
        </w:rPr>
        <w:t>、</w:t>
      </w:r>
      <w:r>
        <w:rPr>
          <w:rFonts w:hint="eastAsia"/>
          <w:color w:val="auto"/>
          <w:sz w:val="24"/>
        </w:rPr>
        <w:t>刘成</w:t>
      </w:r>
      <w:r>
        <w:rPr>
          <w:rFonts w:hint="eastAsia"/>
          <w:color w:val="auto"/>
          <w:sz w:val="24"/>
          <w:lang w:val="en-US" w:eastAsia="zh-CN"/>
        </w:rPr>
        <w:t>分别</w:t>
      </w:r>
      <w:r>
        <w:rPr>
          <w:rFonts w:hint="eastAsia"/>
          <w:sz w:val="24"/>
        </w:rPr>
        <w:t>负责问卷和资料调研</w:t>
      </w:r>
      <w:r>
        <w:rPr>
          <w:rFonts w:hint="eastAsia"/>
          <w:sz w:val="24"/>
          <w:lang w:eastAsia="zh-CN"/>
        </w:rPr>
        <w:t>；</w:t>
      </w:r>
      <w:r>
        <w:rPr>
          <w:rFonts w:hint="eastAsia"/>
          <w:color w:val="auto"/>
          <w:sz w:val="24"/>
        </w:rPr>
        <w:t>高婷</w:t>
      </w:r>
      <w:r>
        <w:rPr>
          <w:rFonts w:hint="eastAsia"/>
          <w:color w:val="auto"/>
          <w:sz w:val="24"/>
          <w:lang w:val="en-US" w:eastAsia="zh-CN"/>
        </w:rPr>
        <w:t>负责</w:t>
      </w:r>
      <w:r>
        <w:rPr>
          <w:sz w:val="24"/>
        </w:rPr>
        <w:t>起草文本</w:t>
      </w:r>
      <w:r>
        <w:rPr>
          <w:rFonts w:hint="eastAsia"/>
          <w:sz w:val="24"/>
        </w:rPr>
        <w:t>及标准文本</w:t>
      </w:r>
      <w:r>
        <w:rPr>
          <w:sz w:val="24"/>
        </w:rPr>
        <w:t>修改工作</w:t>
      </w:r>
      <w:r>
        <w:rPr>
          <w:rFonts w:hint="eastAsia"/>
          <w:sz w:val="24"/>
        </w:rPr>
        <w:t>、</w:t>
      </w:r>
      <w:r>
        <w:rPr>
          <w:rFonts w:hint="eastAsia"/>
          <w:color w:val="auto"/>
          <w:sz w:val="24"/>
        </w:rPr>
        <w:t>罗雪莹</w:t>
      </w:r>
      <w:r>
        <w:rPr>
          <w:rFonts w:hint="eastAsia"/>
          <w:color w:val="auto"/>
          <w:sz w:val="24"/>
          <w:lang w:val="en-US" w:eastAsia="zh-CN"/>
        </w:rPr>
        <w:t>负责</w:t>
      </w:r>
      <w:r>
        <w:rPr>
          <w:sz w:val="24"/>
        </w:rPr>
        <w:t>起草标准编制说明</w:t>
      </w:r>
      <w:r>
        <w:rPr>
          <w:rFonts w:hint="eastAsia"/>
          <w:sz w:val="24"/>
        </w:rPr>
        <w:t>、</w:t>
      </w:r>
      <w:r>
        <w:rPr>
          <w:sz w:val="24"/>
        </w:rPr>
        <w:t>企业各方面意见的征询和反馈收集工作</w:t>
      </w:r>
      <w:r>
        <w:rPr>
          <w:rFonts w:hint="eastAsia"/>
          <w:sz w:val="24"/>
        </w:rPr>
        <w:t>。</w:t>
      </w:r>
    </w:p>
    <w:p>
      <w:pPr>
        <w:spacing w:before="156" w:beforeLines="50" w:line="360" w:lineRule="auto"/>
        <w:rPr>
          <w:rFonts w:eastAsia="黑体"/>
          <w:sz w:val="28"/>
          <w:szCs w:val="28"/>
        </w:rPr>
      </w:pPr>
      <w:r>
        <w:rPr>
          <w:rFonts w:eastAsia="黑体"/>
          <w:sz w:val="28"/>
          <w:szCs w:val="28"/>
        </w:rPr>
        <w:t>二、编制原则和主要内容</w:t>
      </w:r>
    </w:p>
    <w:p>
      <w:pPr>
        <w:spacing w:before="156" w:beforeLines="50" w:after="156" w:afterLines="50" w:line="360" w:lineRule="auto"/>
        <w:ind w:firstLine="480" w:firstLineChars="200"/>
        <w:rPr>
          <w:rFonts w:eastAsia="黑体"/>
          <w:sz w:val="24"/>
        </w:rPr>
      </w:pPr>
      <w:r>
        <w:rPr>
          <w:rFonts w:eastAsia="黑体"/>
          <w:sz w:val="24"/>
        </w:rPr>
        <w:t>1、编制原则</w:t>
      </w:r>
    </w:p>
    <w:p>
      <w:pPr>
        <w:spacing w:before="156" w:beforeLines="50" w:after="156" w:afterLines="50" w:line="360" w:lineRule="auto"/>
        <w:ind w:firstLine="480" w:firstLineChars="200"/>
        <w:rPr>
          <w:rFonts w:eastAsia="黑体"/>
          <w:sz w:val="24"/>
        </w:rPr>
      </w:pPr>
      <w:r>
        <w:rPr>
          <w:rFonts w:hint="eastAsia" w:ascii="宋体" w:hAnsi="宋体"/>
          <w:sz w:val="24"/>
        </w:rPr>
        <w:t>标准的格式、结构和内容主要按照GB/T 1.1《标准化工作导则 第1部分：标准的结构和编写》进行编写。编制原则符合《轻工行业标准制修订工作细则》的规定，符合成套成体系原则</w:t>
      </w:r>
      <w:r>
        <w:rPr>
          <w:rFonts w:hint="eastAsia" w:ascii="宋体" w:hAnsi="宋体"/>
          <w:kern w:val="0"/>
          <w:sz w:val="24"/>
        </w:rPr>
        <w:t>等</w:t>
      </w:r>
      <w:r>
        <w:rPr>
          <w:rFonts w:hint="eastAsia" w:ascii="宋体" w:hAnsi="宋体"/>
          <w:sz w:val="24"/>
        </w:rPr>
        <w:t>标准立项原则。标准编制原则如下：</w:t>
      </w:r>
    </w:p>
    <w:p>
      <w:pPr>
        <w:spacing w:before="156" w:beforeLines="50" w:after="156" w:afterLines="50" w:line="360" w:lineRule="auto"/>
        <w:ind w:firstLine="480" w:firstLineChars="200"/>
        <w:rPr>
          <w:rFonts w:ascii="宋体" w:hAnsi="宋体"/>
          <w:sz w:val="24"/>
        </w:rPr>
      </w:pPr>
      <w:r>
        <w:rPr>
          <w:rFonts w:hint="eastAsia" w:ascii="宋体" w:hAnsi="宋体"/>
          <w:sz w:val="24"/>
        </w:rPr>
        <w:t>a) 产业发展原则</w:t>
      </w:r>
    </w:p>
    <w:p>
      <w:pPr>
        <w:spacing w:before="156" w:beforeLines="50" w:after="156" w:afterLines="50" w:line="360" w:lineRule="auto"/>
        <w:ind w:firstLine="480" w:firstLineChars="200"/>
        <w:rPr>
          <w:rFonts w:ascii="宋体" w:hAnsi="宋体"/>
          <w:sz w:val="24"/>
        </w:rPr>
      </w:pPr>
      <w:r>
        <w:rPr>
          <w:rFonts w:hint="eastAsia" w:ascii="宋体" w:hAnsi="宋体"/>
          <w:sz w:val="24"/>
        </w:rPr>
        <w:t>为促进产业升级，需要通过标准来推动，制定标准建立在贵金属及珠宝玉石饰品企业标准联盟的数十家企业技术基础，标准计划履行符合企业为主、中介参与、政府引导和支持的标准制修订新模式，技术、人才、资金等各方面均有较好的准备，具有很强的可行性。</w:t>
      </w:r>
    </w:p>
    <w:p>
      <w:pPr>
        <w:spacing w:before="156" w:beforeLines="50" w:after="156" w:afterLines="50" w:line="360" w:lineRule="auto"/>
        <w:ind w:firstLine="480" w:firstLineChars="200"/>
        <w:rPr>
          <w:rFonts w:ascii="宋体" w:hAnsi="宋体"/>
          <w:sz w:val="24"/>
        </w:rPr>
      </w:pPr>
      <w:r>
        <w:rPr>
          <w:rFonts w:hint="eastAsia" w:ascii="宋体" w:hAnsi="宋体"/>
          <w:sz w:val="24"/>
        </w:rPr>
        <w:t>b)</w:t>
      </w:r>
      <w:r>
        <w:rPr>
          <w:rFonts w:hint="eastAsia" w:ascii="宋体" w:hAnsi="宋体"/>
          <w:sz w:val="24"/>
        </w:rPr>
        <w:tab/>
      </w:r>
      <w:r>
        <w:rPr>
          <w:rFonts w:hint="eastAsia" w:ascii="宋体" w:hAnsi="宋体"/>
          <w:sz w:val="24"/>
        </w:rPr>
        <w:t>市场需要原则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标准计划的提出和编制，以充分调研我国珠宝首饰企业的实际标准需求为基础，力求符合珠宝首饰</w:t>
      </w:r>
      <w:r>
        <w:rPr>
          <w:rFonts w:hint="eastAsia" w:ascii="宋体" w:hAnsi="宋体"/>
          <w:sz w:val="24"/>
          <w:lang w:val="en-US" w:eastAsia="zh-CN"/>
        </w:rPr>
        <w:t>行业</w:t>
      </w:r>
      <w:r>
        <w:rPr>
          <w:rFonts w:hint="eastAsia" w:ascii="宋体" w:hAnsi="宋体"/>
          <w:sz w:val="24"/>
        </w:rPr>
        <w:t>的需要。</w:t>
      </w:r>
    </w:p>
    <w:p>
      <w:pPr>
        <w:spacing w:before="156" w:beforeLines="50" w:after="156" w:afterLines="50" w:line="360" w:lineRule="auto"/>
        <w:ind w:firstLine="480" w:firstLineChars="200"/>
        <w:rPr>
          <w:rFonts w:ascii="宋体" w:hAnsi="宋体"/>
          <w:sz w:val="24"/>
        </w:rPr>
      </w:pPr>
      <w:r>
        <w:rPr>
          <w:rFonts w:hint="eastAsia" w:ascii="宋体" w:hAnsi="宋体"/>
          <w:sz w:val="24"/>
        </w:rPr>
        <w:t>c)</w:t>
      </w:r>
      <w:r>
        <w:rPr>
          <w:rFonts w:hint="eastAsia" w:ascii="宋体" w:hAnsi="宋体"/>
          <w:sz w:val="24"/>
        </w:rPr>
        <w:tab/>
      </w:r>
      <w:r>
        <w:rPr>
          <w:rFonts w:hint="eastAsia" w:ascii="宋体" w:hAnsi="宋体"/>
          <w:sz w:val="24"/>
        </w:rPr>
        <w:t>重点突出原则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标准内容编制包含</w:t>
      </w:r>
      <w:r>
        <w:rPr>
          <w:rFonts w:hint="eastAsia" w:ascii="宋体" w:hAnsi="宋体"/>
          <w:sz w:val="24"/>
          <w:lang w:val="en-US" w:eastAsia="zh-CN"/>
        </w:rPr>
        <w:t>18K金钻石</w:t>
      </w:r>
      <w:r>
        <w:rPr>
          <w:rFonts w:hint="eastAsia" w:ascii="宋体" w:hAnsi="宋体"/>
          <w:sz w:val="24"/>
        </w:rPr>
        <w:t>的各个方面，突出标准重点。</w:t>
      </w:r>
    </w:p>
    <w:p>
      <w:pPr>
        <w:spacing w:before="156" w:beforeLines="50" w:after="156" w:afterLines="50" w:line="360" w:lineRule="auto"/>
        <w:ind w:firstLine="480" w:firstLineChars="200"/>
        <w:rPr>
          <w:rFonts w:ascii="宋体" w:hAnsi="宋体"/>
          <w:sz w:val="24"/>
        </w:rPr>
      </w:pPr>
      <w:r>
        <w:rPr>
          <w:rFonts w:hint="eastAsia" w:ascii="宋体" w:hAnsi="宋体"/>
          <w:sz w:val="24"/>
        </w:rPr>
        <w:t>d)</w:t>
      </w:r>
      <w:r>
        <w:rPr>
          <w:rFonts w:hint="eastAsia" w:ascii="宋体" w:hAnsi="宋体"/>
          <w:sz w:val="24"/>
        </w:rPr>
        <w:tab/>
      </w:r>
      <w:r>
        <w:rPr>
          <w:rFonts w:hint="eastAsia" w:ascii="宋体" w:hAnsi="宋体"/>
          <w:sz w:val="24"/>
        </w:rPr>
        <w:t>成套成体系原则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计划的提出和编制，建立在充分查找和参阅现行法律法规及相关的国家标准、行业标准的基础上，保证标准计划的内容能够符合法律法规以及强制性国家标准、行业标准的要求，并避免与现行相关国家标准和行业标准内容发生交叉重复。力求标准计划的提出弥补我国现行珠宝首饰行业标准体系的空缺，共同推进行业标准体系的完善。</w:t>
      </w:r>
    </w:p>
    <w:p>
      <w:pPr>
        <w:spacing w:before="156" w:beforeLines="50" w:after="156" w:afterLines="50" w:line="360" w:lineRule="auto"/>
        <w:ind w:firstLine="480" w:firstLineChars="200"/>
        <w:rPr>
          <w:rFonts w:eastAsia="黑体"/>
          <w:sz w:val="24"/>
        </w:rPr>
      </w:pPr>
      <w:r>
        <w:rPr>
          <w:rFonts w:eastAsia="黑体"/>
          <w:sz w:val="24"/>
        </w:rPr>
        <w:t>2、主要技术内容</w:t>
      </w:r>
    </w:p>
    <w:p>
      <w:pPr>
        <w:spacing w:line="360" w:lineRule="auto"/>
        <w:ind w:right="227" w:rightChars="108" w:firstLine="480" w:firstLineChars="200"/>
        <w:rPr>
          <w:rFonts w:hint="eastAsia" w:hAnsi="宋体"/>
          <w:sz w:val="24"/>
        </w:rPr>
      </w:pPr>
      <w:r>
        <w:rPr>
          <w:rFonts w:hint="eastAsia" w:hAnsi="宋体"/>
          <w:sz w:val="24"/>
        </w:rPr>
        <w:t>本文件规定了18K金钻石饰品的分类、</w:t>
      </w:r>
      <w:r>
        <w:rPr>
          <w:rFonts w:hint="eastAsia" w:hAnsi="宋体"/>
          <w:sz w:val="24"/>
          <w:lang w:val="en-US" w:eastAsia="zh-CN"/>
        </w:rPr>
        <w:t>材料与纯度要求、外观质量</w:t>
      </w:r>
      <w:r>
        <w:rPr>
          <w:rFonts w:hint="eastAsia" w:hAnsi="宋体"/>
          <w:sz w:val="24"/>
        </w:rPr>
        <w:t>要求</w:t>
      </w:r>
      <w:r>
        <w:rPr>
          <w:rFonts w:hint="eastAsia" w:hAnsi="宋体"/>
          <w:sz w:val="24"/>
          <w:lang w:eastAsia="zh-CN"/>
        </w:rPr>
        <w:t>、</w:t>
      </w:r>
      <w:r>
        <w:rPr>
          <w:rFonts w:hint="eastAsia" w:hAnsi="宋体"/>
          <w:sz w:val="24"/>
          <w:lang w:val="en-US" w:eastAsia="zh-CN"/>
        </w:rPr>
        <w:t>结构质量要求、有害元素要求、质量测量允差</w:t>
      </w:r>
      <w:r>
        <w:rPr>
          <w:rFonts w:hint="eastAsia" w:hAnsi="宋体"/>
          <w:sz w:val="24"/>
        </w:rPr>
        <w:t>、</w:t>
      </w:r>
      <w:r>
        <w:rPr>
          <w:rFonts w:hint="eastAsia" w:hAnsi="宋体"/>
          <w:sz w:val="24"/>
          <w:lang w:val="en-US" w:eastAsia="zh-CN"/>
        </w:rPr>
        <w:t>测试</w:t>
      </w:r>
      <w:r>
        <w:rPr>
          <w:rFonts w:hint="eastAsia" w:hAnsi="宋体"/>
          <w:sz w:val="24"/>
        </w:rPr>
        <w:t>方法、检验规则和</w:t>
      </w:r>
      <w:r>
        <w:rPr>
          <w:rFonts w:hint="eastAsia" w:hAnsi="宋体"/>
          <w:sz w:val="24"/>
          <w:lang w:val="en-US" w:eastAsia="zh-CN"/>
        </w:rPr>
        <w:t>标识</w:t>
      </w:r>
      <w:r>
        <w:rPr>
          <w:rFonts w:hint="eastAsia" w:hAnsi="宋体"/>
          <w:sz w:val="24"/>
        </w:rPr>
        <w:t>、包装、运输、贮存。</w:t>
      </w:r>
    </w:p>
    <w:p>
      <w:pPr>
        <w:spacing w:line="360" w:lineRule="auto"/>
        <w:ind w:right="227" w:rightChars="108" w:firstLine="480" w:firstLineChars="200"/>
        <w:rPr>
          <w:rFonts w:hint="eastAsia" w:hAnsi="宋体"/>
          <w:sz w:val="24"/>
        </w:rPr>
      </w:pPr>
      <w:r>
        <w:rPr>
          <w:rFonts w:hint="eastAsia" w:hAnsi="宋体"/>
          <w:sz w:val="24"/>
        </w:rPr>
        <w:t>本文件适用于</w:t>
      </w:r>
      <w:r>
        <w:rPr>
          <w:rFonts w:hint="eastAsia" w:hAnsi="宋体"/>
          <w:sz w:val="24"/>
          <w:lang w:val="en-US" w:eastAsia="zh-CN"/>
        </w:rPr>
        <w:t>深圳市珠宝行业生产销售的</w:t>
      </w:r>
      <w:r>
        <w:rPr>
          <w:rFonts w:hint="eastAsia" w:hAnsi="宋体"/>
          <w:sz w:val="24"/>
        </w:rPr>
        <w:t>18K</w:t>
      </w:r>
      <w:r>
        <w:rPr>
          <w:rFonts w:hint="eastAsia" w:hAnsi="宋体"/>
          <w:sz w:val="24"/>
          <w:lang w:val="en-US" w:eastAsia="zh-CN"/>
        </w:rPr>
        <w:t>金</w:t>
      </w:r>
      <w:r>
        <w:rPr>
          <w:rFonts w:hint="eastAsia" w:hAnsi="宋体"/>
          <w:sz w:val="24"/>
        </w:rPr>
        <w:t>钻石饰品。</w:t>
      </w:r>
    </w:p>
    <w:p>
      <w:pPr>
        <w:spacing w:before="156" w:beforeLines="50" w:after="156" w:afterLines="50" w:line="360" w:lineRule="auto"/>
        <w:ind w:right="227" w:rightChars="108" w:firstLine="480" w:firstLineChars="200"/>
        <w:rPr>
          <w:rFonts w:ascii="黑体" w:hAnsi="黑体" w:eastAsia="黑体"/>
          <w:sz w:val="24"/>
        </w:rPr>
      </w:pPr>
      <w:r>
        <w:rPr>
          <w:rFonts w:hint="eastAsia" w:ascii="黑体" w:hAnsi="黑体" w:eastAsia="黑体"/>
          <w:sz w:val="24"/>
        </w:rPr>
        <w:t>3、解决的主要问题</w:t>
      </w:r>
    </w:p>
    <w:p>
      <w:pPr>
        <w:spacing w:line="360" w:lineRule="auto"/>
        <w:ind w:right="227" w:rightChars="108" w:firstLine="480" w:firstLineChars="200"/>
        <w:rPr>
          <w:rFonts w:hint="default" w:eastAsia="宋体"/>
          <w:sz w:val="24"/>
          <w:lang w:val="en-US" w:eastAsia="zh-CN"/>
        </w:rPr>
      </w:pPr>
      <w:r>
        <w:rPr>
          <w:rFonts w:hint="eastAsia" w:ascii="宋体" w:hAnsi="宋体"/>
          <w:sz w:val="24"/>
          <w:lang w:val="zh-CN" w:eastAsia="zh-CN"/>
        </w:rPr>
        <w:t>制定团体标准《</w:t>
      </w:r>
      <w:r>
        <w:rPr>
          <w:rFonts w:hint="eastAsia" w:ascii="宋体" w:hAnsi="宋体"/>
          <w:sz w:val="24"/>
          <w:lang w:eastAsia="zh-CN"/>
        </w:rPr>
        <w:t>18K金钻石饰品</w:t>
      </w:r>
      <w:r>
        <w:rPr>
          <w:rFonts w:hint="eastAsia" w:ascii="宋体" w:hAnsi="宋体"/>
          <w:sz w:val="24"/>
          <w:lang w:val="zh-CN" w:eastAsia="zh-CN"/>
        </w:rPr>
        <w:t>》无论从标准体系中此方面空白的角度，还是从实际产业需求出发，是及时而有效的。通过制定《</w:t>
      </w:r>
      <w:r>
        <w:rPr>
          <w:rFonts w:hint="eastAsia" w:ascii="宋体" w:hAnsi="宋体"/>
          <w:sz w:val="24"/>
          <w:lang w:eastAsia="zh-CN"/>
        </w:rPr>
        <w:t>18K金钻石饰品</w:t>
      </w:r>
      <w:r>
        <w:rPr>
          <w:rFonts w:hint="eastAsia" w:ascii="宋体" w:hAnsi="宋体"/>
          <w:sz w:val="24"/>
          <w:lang w:val="zh-CN" w:eastAsia="zh-CN"/>
        </w:rPr>
        <w:t>》标准，</w:t>
      </w:r>
      <w:r>
        <w:rPr>
          <w:rFonts w:hint="eastAsia" w:ascii="宋体" w:hAnsi="宋体"/>
          <w:sz w:val="24"/>
          <w:lang w:val="en-US" w:eastAsia="zh-CN"/>
        </w:rPr>
        <w:t>规定</w:t>
      </w:r>
      <w:r>
        <w:rPr>
          <w:rFonts w:hint="eastAsia" w:ascii="宋体" w:hAnsi="宋体"/>
          <w:sz w:val="24"/>
          <w:lang w:val="zh-CN" w:eastAsia="zh-CN"/>
        </w:rPr>
        <w:t>18K</w:t>
      </w:r>
      <w:r>
        <w:rPr>
          <w:rFonts w:hint="eastAsia" w:ascii="宋体" w:hAnsi="宋体"/>
          <w:sz w:val="24"/>
          <w:lang w:val="en-US" w:eastAsia="zh-CN"/>
        </w:rPr>
        <w:t>金的</w:t>
      </w:r>
      <w:r>
        <w:rPr>
          <w:rFonts w:hint="eastAsia" w:ascii="宋体" w:hAnsi="宋体"/>
          <w:sz w:val="24"/>
          <w:lang w:val="zh-CN" w:eastAsia="zh-CN"/>
        </w:rPr>
        <w:t>分类、要求等，</w:t>
      </w:r>
      <w:r>
        <w:rPr>
          <w:rFonts w:hint="eastAsia" w:ascii="宋体" w:hAnsi="宋体"/>
          <w:sz w:val="24"/>
          <w:lang w:val="en-US" w:eastAsia="zh-CN"/>
        </w:rPr>
        <w:t>完善18K金钻石产品的外观质量要求，补充钻石饰品的结构要求和镶嵌要求</w:t>
      </w:r>
      <w:r>
        <w:rPr>
          <w:rFonts w:hint="eastAsia" w:ascii="宋体" w:hAnsi="宋体"/>
          <w:sz w:val="24"/>
          <w:lang w:eastAsia="zh-CN"/>
        </w:rPr>
        <w:t>。</w:t>
      </w:r>
      <w:r>
        <w:rPr>
          <w:rFonts w:hint="eastAsia" w:ascii="宋体" w:hAnsi="宋体"/>
          <w:sz w:val="24"/>
          <w:lang w:val="en-US" w:eastAsia="zh-CN"/>
        </w:rPr>
        <w:t>为珠宝首饰企业的钻石产品提供检验依据，有利于企业产品的质量提升，促进珠宝行业高质量发展。</w:t>
      </w:r>
    </w:p>
    <w:p>
      <w:pPr>
        <w:spacing w:before="156" w:beforeLines="50" w:line="360" w:lineRule="auto"/>
        <w:rPr>
          <w:rFonts w:eastAsia="黑体"/>
          <w:sz w:val="28"/>
          <w:szCs w:val="28"/>
        </w:rPr>
      </w:pPr>
      <w:r>
        <w:rPr>
          <w:rFonts w:eastAsia="黑体"/>
          <w:sz w:val="28"/>
          <w:szCs w:val="28"/>
        </w:rPr>
        <w:t>三、主要试验</w:t>
      </w:r>
      <w:r>
        <w:rPr>
          <w:rFonts w:hint="eastAsia" w:eastAsia="黑体"/>
          <w:sz w:val="28"/>
          <w:szCs w:val="28"/>
        </w:rPr>
        <w:t>（或验证）</w:t>
      </w:r>
      <w:r>
        <w:rPr>
          <w:rFonts w:eastAsia="黑体"/>
          <w:sz w:val="28"/>
          <w:szCs w:val="28"/>
        </w:rPr>
        <w:t>情况</w:t>
      </w:r>
    </w:p>
    <w:p>
      <w:pPr>
        <w:spacing w:line="360" w:lineRule="auto"/>
        <w:ind w:firstLine="480"/>
        <w:rPr>
          <w:rFonts w:ascii="宋体" w:hAnsi="宋体"/>
          <w:sz w:val="24"/>
        </w:rPr>
      </w:pPr>
      <w:r>
        <w:rPr>
          <w:rFonts w:hint="eastAsia" w:ascii="宋体" w:hAnsi="宋体"/>
          <w:sz w:val="24"/>
        </w:rPr>
        <w:t>本标准为基础标准，无试验。</w:t>
      </w:r>
    </w:p>
    <w:p>
      <w:pPr>
        <w:spacing w:before="156" w:beforeLines="50" w:after="156" w:afterLines="50" w:line="360" w:lineRule="auto"/>
        <w:ind w:right="227" w:rightChars="108"/>
        <w:rPr>
          <w:rFonts w:eastAsia="黑体"/>
          <w:color w:val="auto"/>
          <w:sz w:val="28"/>
          <w:szCs w:val="28"/>
        </w:rPr>
      </w:pPr>
      <w:r>
        <w:rPr>
          <w:rFonts w:eastAsia="黑体"/>
          <w:color w:val="auto"/>
          <w:sz w:val="28"/>
          <w:szCs w:val="28"/>
        </w:rPr>
        <w:t>四、</w:t>
      </w:r>
      <w:r>
        <w:rPr>
          <w:rFonts w:eastAsia="黑体"/>
          <w:color w:val="auto"/>
          <w:kern w:val="0"/>
          <w:sz w:val="28"/>
          <w:szCs w:val="28"/>
        </w:rPr>
        <w:t>标准中涉及专利</w:t>
      </w:r>
      <w:r>
        <w:rPr>
          <w:rFonts w:hint="eastAsia" w:eastAsia="黑体"/>
          <w:color w:val="auto"/>
          <w:kern w:val="0"/>
          <w:sz w:val="28"/>
          <w:szCs w:val="28"/>
        </w:rPr>
        <w:t>情况</w:t>
      </w:r>
    </w:p>
    <w:p>
      <w:pPr>
        <w:spacing w:line="360" w:lineRule="auto"/>
        <w:ind w:right="227" w:rightChars="108" w:firstLine="480"/>
        <w:rPr>
          <w:color w:val="auto"/>
          <w:sz w:val="24"/>
        </w:rPr>
      </w:pPr>
      <w:r>
        <w:rPr>
          <w:rFonts w:hint="eastAsia"/>
          <w:color w:val="auto"/>
          <w:sz w:val="24"/>
        </w:rPr>
        <w:t>本标准</w:t>
      </w:r>
      <w:r>
        <w:rPr>
          <w:rFonts w:hint="eastAsia"/>
          <w:color w:val="auto"/>
          <w:sz w:val="24"/>
          <w:lang w:val="en-US" w:eastAsia="zh-CN"/>
        </w:rPr>
        <w:t>不</w:t>
      </w:r>
      <w:r>
        <w:rPr>
          <w:rFonts w:hint="eastAsia"/>
          <w:color w:val="auto"/>
          <w:sz w:val="24"/>
        </w:rPr>
        <w:t>涉及专利问题</w:t>
      </w:r>
      <w:r>
        <w:rPr>
          <w:color w:val="auto"/>
          <w:sz w:val="24"/>
        </w:rPr>
        <w:t>。</w:t>
      </w:r>
    </w:p>
    <w:p>
      <w:pPr>
        <w:spacing w:before="156" w:beforeLines="50" w:after="156" w:afterLines="50" w:line="360" w:lineRule="auto"/>
        <w:ind w:right="227" w:rightChars="108"/>
        <w:rPr>
          <w:rFonts w:eastAsia="黑体"/>
          <w:color w:val="auto"/>
          <w:sz w:val="28"/>
          <w:szCs w:val="28"/>
        </w:rPr>
      </w:pPr>
      <w:r>
        <w:rPr>
          <w:rFonts w:eastAsia="黑体"/>
          <w:color w:val="auto"/>
          <w:sz w:val="28"/>
          <w:szCs w:val="28"/>
        </w:rPr>
        <w:t>五、</w:t>
      </w:r>
      <w:r>
        <w:rPr>
          <w:rFonts w:hint="eastAsia" w:eastAsia="黑体"/>
          <w:color w:val="auto"/>
          <w:sz w:val="28"/>
          <w:szCs w:val="28"/>
        </w:rPr>
        <w:t>预期达到的社会效益、对产业发展的作用等情况</w:t>
      </w:r>
    </w:p>
    <w:p>
      <w:pPr>
        <w:spacing w:line="360" w:lineRule="auto"/>
        <w:ind w:firstLine="480" w:firstLineChars="200"/>
        <w:rPr>
          <w:rFonts w:hint="eastAsia" w:ascii="宋体" w:hAnsi="宋体"/>
          <w:sz w:val="24"/>
        </w:rPr>
      </w:pPr>
      <w:r>
        <w:rPr>
          <w:rFonts w:hint="eastAsia" w:ascii="宋体" w:hAnsi="宋体"/>
          <w:sz w:val="24"/>
        </w:rPr>
        <w:t>中国金饰市场是一个不断变化的市场。以前，中国消费者购买金饰仅仅是因为金饰含有黄金，但现在的消费者越来越重视金饰的装饰作用，年轻消费者尤其将金饰视同为一种展现个性、获得社会认可和接纳的方式。近年来，我国消费者对黄金饰品的需求持续提升，金饰市场不断升温，产品创新能力不断增强。同时，年轻消费者成为近年金饰市场的重要增量，围绕年轻人消费需求的K金引领了市场潮流。黄金首饰消费逐步走强</w:t>
      </w:r>
      <w:r>
        <w:rPr>
          <w:rFonts w:hint="eastAsia" w:ascii="宋体" w:hAnsi="宋体"/>
          <w:sz w:val="24"/>
          <w:lang w:eastAsia="zh-CN"/>
        </w:rPr>
        <w:t>，</w:t>
      </w:r>
      <w:r>
        <w:rPr>
          <w:rFonts w:hint="eastAsia" w:ascii="宋体" w:hAnsi="宋体"/>
          <w:sz w:val="24"/>
        </w:rPr>
        <w:t>随着中国内地经济逐渐走向消费主导，消费持续复苏，加上三四线城市消费需求逐步崛起，内地黄金首饰需求保持稳定。另外，基于可支配收入增加、中等收入人群不断增长，以及来自千禧世代等年轻人的需求激增，金饰消费动能充沛，代表消费品质的“轻奢侈品”及名贵奢侈品消费需求得到了有力支撑。从工艺角度来说，K金具有硬度高、韧性小、亮度高、不易变形等特点，因为这些特性，使得K金首饰可以制作出比足金首饰更多的造型款式和更多的颜色，也就更加时尚前卫，更容易被消费者接受。K金的工艺复杂性和款式多变性，也提升了产品的附加值。</w:t>
      </w:r>
    </w:p>
    <w:p>
      <w:pPr>
        <w:spacing w:line="360" w:lineRule="auto"/>
        <w:ind w:firstLine="480" w:firstLineChars="200"/>
        <w:rPr>
          <w:rFonts w:hint="eastAsia" w:ascii="宋体" w:hAnsi="宋体" w:eastAsia="宋体"/>
          <w:sz w:val="24"/>
          <w:lang w:val="en-US" w:eastAsia="zh-CN"/>
        </w:rPr>
      </w:pPr>
      <w:r>
        <w:rPr>
          <w:rFonts w:hint="eastAsia" w:ascii="宋体" w:hAnsi="宋体"/>
          <w:sz w:val="24"/>
        </w:rPr>
        <w:t>本标准的制订和发布实施，促进我国</w:t>
      </w:r>
      <w:r>
        <w:rPr>
          <w:rFonts w:hint="eastAsia" w:ascii="宋体" w:hAnsi="宋体"/>
          <w:sz w:val="24"/>
          <w:lang w:val="en-US" w:eastAsia="zh-CN"/>
        </w:rPr>
        <w:t>首饰</w:t>
      </w:r>
      <w:r>
        <w:rPr>
          <w:rFonts w:hint="eastAsia" w:ascii="宋体" w:hAnsi="宋体"/>
          <w:sz w:val="24"/>
        </w:rPr>
        <w:t>制造加工</w:t>
      </w:r>
      <w:r>
        <w:rPr>
          <w:rFonts w:hint="eastAsia" w:ascii="宋体" w:hAnsi="宋体"/>
          <w:sz w:val="24"/>
          <w:lang w:val="en-US" w:eastAsia="zh-CN"/>
        </w:rPr>
        <w:t>企业加快推进</w:t>
      </w:r>
      <w:r>
        <w:rPr>
          <w:rFonts w:hint="eastAsia" w:ascii="宋体" w:hAnsi="宋体"/>
          <w:sz w:val="24"/>
        </w:rPr>
        <w:t>产业结构调整与优化升级</w:t>
      </w:r>
      <w:r>
        <w:rPr>
          <w:rFonts w:hint="eastAsia" w:ascii="宋体" w:hAnsi="宋体"/>
          <w:sz w:val="24"/>
          <w:lang w:eastAsia="zh-CN"/>
        </w:rPr>
        <w:t>，促进企业提质增效。</w:t>
      </w:r>
    </w:p>
    <w:p>
      <w:pPr>
        <w:spacing w:before="156" w:beforeLines="50" w:after="156" w:afterLines="50" w:line="360" w:lineRule="auto"/>
        <w:ind w:right="227" w:rightChars="108"/>
        <w:rPr>
          <w:rFonts w:eastAsia="黑体"/>
          <w:kern w:val="0"/>
          <w:sz w:val="28"/>
          <w:szCs w:val="28"/>
        </w:rPr>
      </w:pPr>
      <w:r>
        <w:rPr>
          <w:rFonts w:eastAsia="黑体"/>
          <w:sz w:val="28"/>
          <w:szCs w:val="28"/>
        </w:rPr>
        <w:t>六、</w:t>
      </w:r>
      <w:r>
        <w:rPr>
          <w:rFonts w:hint="eastAsia" w:eastAsia="黑体"/>
          <w:kern w:val="0"/>
          <w:sz w:val="28"/>
          <w:szCs w:val="28"/>
        </w:rPr>
        <w:t>与</w:t>
      </w:r>
      <w:r>
        <w:rPr>
          <w:rFonts w:eastAsia="黑体"/>
          <w:kern w:val="0"/>
          <w:sz w:val="28"/>
          <w:szCs w:val="28"/>
        </w:rPr>
        <w:t>国际</w:t>
      </w:r>
      <w:r>
        <w:rPr>
          <w:rFonts w:hint="eastAsia" w:eastAsia="黑体"/>
          <w:kern w:val="0"/>
          <w:sz w:val="28"/>
          <w:szCs w:val="28"/>
        </w:rPr>
        <w:t>、</w:t>
      </w:r>
      <w:r>
        <w:rPr>
          <w:rFonts w:eastAsia="黑体"/>
          <w:kern w:val="0"/>
          <w:sz w:val="28"/>
          <w:szCs w:val="28"/>
        </w:rPr>
        <w:t>国外</w:t>
      </w:r>
      <w:r>
        <w:rPr>
          <w:rFonts w:hint="eastAsia" w:eastAsia="黑体"/>
          <w:kern w:val="0"/>
          <w:sz w:val="28"/>
          <w:szCs w:val="28"/>
        </w:rPr>
        <w:t>对比情况</w:t>
      </w:r>
    </w:p>
    <w:p>
      <w:pPr>
        <w:spacing w:line="360" w:lineRule="auto"/>
        <w:ind w:firstLine="480" w:firstLineChars="200"/>
        <w:rPr>
          <w:rFonts w:ascii="宋体" w:hAnsi="宋体"/>
          <w:sz w:val="24"/>
        </w:rPr>
      </w:pPr>
      <w:r>
        <w:rPr>
          <w:rFonts w:hint="eastAsia" w:ascii="宋体" w:hAnsi="宋体"/>
          <w:sz w:val="24"/>
        </w:rPr>
        <w:t>本标准没有采用国际标准。</w:t>
      </w:r>
    </w:p>
    <w:p>
      <w:pPr>
        <w:spacing w:line="360" w:lineRule="auto"/>
        <w:ind w:firstLine="480" w:firstLineChars="200"/>
        <w:rPr>
          <w:rFonts w:ascii="宋体" w:hAnsi="宋体"/>
          <w:sz w:val="24"/>
        </w:rPr>
      </w:pPr>
      <w:r>
        <w:rPr>
          <w:rFonts w:hint="eastAsia" w:ascii="宋体" w:hAnsi="宋体"/>
          <w:sz w:val="24"/>
        </w:rPr>
        <w:t>本标准制定过程中未查到同类国际、国外标准。</w:t>
      </w:r>
    </w:p>
    <w:p>
      <w:pPr>
        <w:spacing w:line="360" w:lineRule="auto"/>
        <w:ind w:firstLine="480" w:firstLineChars="200"/>
        <w:rPr>
          <w:rFonts w:ascii="宋体" w:hAnsi="宋体"/>
          <w:sz w:val="24"/>
        </w:rPr>
      </w:pPr>
      <w:r>
        <w:rPr>
          <w:rFonts w:hint="eastAsia" w:ascii="宋体" w:hAnsi="宋体"/>
          <w:sz w:val="24"/>
        </w:rPr>
        <w:t>本标准制定过程中未测试国外的样品、样机。</w:t>
      </w:r>
    </w:p>
    <w:p>
      <w:pPr>
        <w:spacing w:after="156" w:afterLines="50" w:line="360" w:lineRule="auto"/>
        <w:ind w:firstLine="480" w:firstLineChars="200"/>
        <w:rPr>
          <w:rFonts w:ascii="宋体" w:hAnsi="宋体"/>
          <w:sz w:val="24"/>
        </w:rPr>
      </w:pPr>
      <w:r>
        <w:rPr>
          <w:rFonts w:hint="eastAsia" w:ascii="宋体" w:hAnsi="宋体"/>
          <w:sz w:val="24"/>
        </w:rPr>
        <w:t>本标准水平为国内先进水平。</w:t>
      </w:r>
    </w:p>
    <w:p>
      <w:pPr>
        <w:spacing w:after="156" w:afterLines="50" w:line="360" w:lineRule="auto"/>
        <w:rPr>
          <w:rFonts w:ascii="黑体" w:hAnsi="黑体" w:eastAsia="黑体"/>
          <w:sz w:val="28"/>
          <w:szCs w:val="28"/>
        </w:rPr>
      </w:pPr>
      <w:r>
        <w:rPr>
          <w:rFonts w:hint="eastAsia" w:ascii="黑体" w:hAnsi="黑体" w:eastAsia="黑体"/>
          <w:sz w:val="28"/>
          <w:szCs w:val="28"/>
        </w:rPr>
        <w:t>七、在标准体系中的位置，与现行相关法律、法规、规章及相关标准，特别是强制性标准的协调性</w:t>
      </w:r>
    </w:p>
    <w:p>
      <w:pPr>
        <w:spacing w:line="360" w:lineRule="auto"/>
        <w:ind w:firstLine="480" w:firstLineChars="200"/>
        <w:rPr>
          <w:rFonts w:ascii="宋体" w:hAnsi="宋体"/>
          <w:sz w:val="24"/>
        </w:rPr>
      </w:pPr>
      <w:r>
        <w:rPr>
          <w:rFonts w:hint="eastAsia" w:ascii="宋体" w:hAnsi="宋体"/>
          <w:sz w:val="24"/>
        </w:rPr>
        <w:t>本标准属于首饰领域标准体系“首饰”大类、“珠宝玉石饰品”中类。</w:t>
      </w:r>
    </w:p>
    <w:p>
      <w:pPr>
        <w:spacing w:after="156" w:afterLines="50" w:line="360" w:lineRule="auto"/>
        <w:ind w:firstLine="480" w:firstLineChars="200"/>
        <w:rPr>
          <w:rFonts w:ascii="宋体" w:hAnsi="宋体"/>
          <w:sz w:val="24"/>
        </w:rPr>
      </w:pPr>
      <w:r>
        <w:rPr>
          <w:rFonts w:hint="eastAsia" w:ascii="宋体" w:hAnsi="宋体"/>
          <w:sz w:val="24"/>
        </w:rPr>
        <w:t>本标准与现行相关法律、法规、规章及相关标准协调一致。</w:t>
      </w:r>
    </w:p>
    <w:p>
      <w:pPr>
        <w:spacing w:before="156" w:beforeLines="50" w:after="156" w:afterLines="50" w:line="360" w:lineRule="auto"/>
        <w:rPr>
          <w:rFonts w:eastAsia="黑体"/>
          <w:sz w:val="28"/>
          <w:szCs w:val="28"/>
        </w:rPr>
      </w:pPr>
      <w:r>
        <w:rPr>
          <w:rFonts w:eastAsia="黑体"/>
          <w:sz w:val="28"/>
          <w:szCs w:val="28"/>
        </w:rPr>
        <w:t>八、重大分歧</w:t>
      </w:r>
      <w:r>
        <w:rPr>
          <w:rFonts w:hint="eastAsia" w:eastAsia="黑体"/>
          <w:sz w:val="28"/>
          <w:szCs w:val="28"/>
        </w:rPr>
        <w:t>意见</w:t>
      </w:r>
      <w:r>
        <w:rPr>
          <w:rFonts w:eastAsia="黑体"/>
          <w:sz w:val="28"/>
          <w:szCs w:val="28"/>
        </w:rPr>
        <w:t>的处理</w:t>
      </w:r>
      <w:r>
        <w:rPr>
          <w:rFonts w:hint="eastAsia" w:eastAsia="黑体"/>
          <w:sz w:val="28"/>
          <w:szCs w:val="28"/>
        </w:rPr>
        <w:t>经过</w:t>
      </w:r>
      <w:r>
        <w:rPr>
          <w:rFonts w:eastAsia="黑体"/>
          <w:sz w:val="28"/>
          <w:szCs w:val="28"/>
        </w:rPr>
        <w:t>和依据</w:t>
      </w:r>
    </w:p>
    <w:p>
      <w:pPr>
        <w:spacing w:line="360" w:lineRule="auto"/>
        <w:ind w:firstLine="480" w:firstLineChars="200"/>
        <w:rPr>
          <w:sz w:val="24"/>
        </w:rPr>
      </w:pPr>
      <w:r>
        <w:rPr>
          <w:rFonts w:hint="eastAsia"/>
          <w:sz w:val="24"/>
        </w:rPr>
        <w:t>无。</w:t>
      </w:r>
    </w:p>
    <w:p>
      <w:pPr>
        <w:adjustRightInd w:val="0"/>
        <w:snapToGrid w:val="0"/>
        <w:spacing w:before="156" w:beforeLines="50" w:after="156" w:afterLines="50" w:line="360" w:lineRule="auto"/>
        <w:jc w:val="left"/>
        <w:rPr>
          <w:rFonts w:eastAsia="黑体"/>
          <w:kern w:val="0"/>
          <w:sz w:val="28"/>
          <w:szCs w:val="28"/>
        </w:rPr>
      </w:pPr>
      <w:r>
        <w:rPr>
          <w:rFonts w:eastAsia="黑体"/>
          <w:kern w:val="0"/>
          <w:sz w:val="28"/>
          <w:szCs w:val="28"/>
        </w:rPr>
        <w:t>九、 标准性质的建议说明</w:t>
      </w:r>
    </w:p>
    <w:p>
      <w:pPr>
        <w:adjustRightInd w:val="0"/>
        <w:snapToGrid w:val="0"/>
        <w:spacing w:before="156" w:beforeLines="50" w:after="156" w:afterLines="50" w:line="360" w:lineRule="auto"/>
        <w:ind w:firstLine="480" w:firstLineChars="200"/>
        <w:jc w:val="left"/>
        <w:rPr>
          <w:rFonts w:ascii="宋体" w:hAnsi="宋体"/>
          <w:kern w:val="0"/>
          <w:sz w:val="24"/>
        </w:rPr>
      </w:pPr>
      <w:r>
        <w:rPr>
          <w:rFonts w:hint="eastAsia" w:ascii="宋体" w:hAnsi="宋体"/>
          <w:kern w:val="0"/>
          <w:sz w:val="24"/>
        </w:rPr>
        <w:t>建议本标准的性质为推荐性团体标准。</w:t>
      </w:r>
    </w:p>
    <w:p>
      <w:pPr>
        <w:tabs>
          <w:tab w:val="left" w:pos="720"/>
          <w:tab w:val="left" w:pos="1559"/>
          <w:tab w:val="left" w:pos="3389"/>
          <w:tab w:val="left" w:pos="5328"/>
          <w:tab w:val="left" w:pos="6770"/>
          <w:tab w:val="left" w:pos="8320"/>
          <w:tab w:val="left" w:pos="9870"/>
          <w:tab w:val="left" w:pos="11420"/>
          <w:tab w:val="left" w:pos="13379"/>
        </w:tabs>
        <w:spacing w:before="156" w:beforeLines="50" w:after="156" w:afterLines="50" w:line="360" w:lineRule="auto"/>
        <w:rPr>
          <w:rFonts w:eastAsia="黑体"/>
          <w:kern w:val="0"/>
          <w:sz w:val="28"/>
          <w:szCs w:val="28"/>
        </w:rPr>
      </w:pPr>
      <w:r>
        <w:rPr>
          <w:rFonts w:hint="eastAsia" w:eastAsia="黑体"/>
          <w:kern w:val="0"/>
          <w:sz w:val="28"/>
          <w:szCs w:val="28"/>
        </w:rPr>
        <w:t>十、贯彻标准的要求和措施建议</w:t>
      </w:r>
    </w:p>
    <w:p>
      <w:pPr>
        <w:tabs>
          <w:tab w:val="left" w:pos="720"/>
          <w:tab w:val="left" w:pos="1559"/>
          <w:tab w:val="left" w:pos="3389"/>
          <w:tab w:val="left" w:pos="5328"/>
          <w:tab w:val="left" w:pos="6770"/>
          <w:tab w:val="left" w:pos="8320"/>
          <w:tab w:val="left" w:pos="9870"/>
          <w:tab w:val="left" w:pos="11420"/>
          <w:tab w:val="left" w:pos="13379"/>
        </w:tabs>
        <w:spacing w:line="360" w:lineRule="auto"/>
        <w:ind w:firstLine="480" w:firstLineChars="200"/>
        <w:rPr>
          <w:rFonts w:ascii="宋体" w:hAnsi="宋体"/>
          <w:kern w:val="0"/>
          <w:sz w:val="24"/>
        </w:rPr>
      </w:pPr>
      <w:r>
        <w:rPr>
          <w:rFonts w:hint="eastAsia" w:ascii="宋体" w:hAnsi="宋体"/>
          <w:kern w:val="0"/>
          <w:sz w:val="24"/>
        </w:rPr>
        <w:t>建议本标准批准发布</w:t>
      </w:r>
      <w:r>
        <w:rPr>
          <w:rFonts w:hint="eastAsia" w:ascii="宋体" w:hAnsi="宋体"/>
          <w:kern w:val="0"/>
          <w:sz w:val="24"/>
          <w:lang w:val="en-US" w:eastAsia="zh-CN"/>
        </w:rPr>
        <w:t>之日起</w:t>
      </w:r>
      <w:r>
        <w:rPr>
          <w:rFonts w:hint="eastAsia" w:ascii="宋体" w:hAnsi="宋体"/>
          <w:kern w:val="0"/>
          <w:sz w:val="24"/>
        </w:rPr>
        <w:t>实施。</w:t>
      </w:r>
    </w:p>
    <w:p>
      <w:pPr>
        <w:tabs>
          <w:tab w:val="left" w:pos="720"/>
          <w:tab w:val="left" w:pos="1559"/>
          <w:tab w:val="left" w:pos="3389"/>
          <w:tab w:val="left" w:pos="5328"/>
          <w:tab w:val="left" w:pos="6770"/>
          <w:tab w:val="left" w:pos="8320"/>
          <w:tab w:val="left" w:pos="9870"/>
          <w:tab w:val="left" w:pos="11420"/>
          <w:tab w:val="left" w:pos="13379"/>
        </w:tabs>
        <w:spacing w:line="360" w:lineRule="auto"/>
        <w:ind w:firstLine="480" w:firstLineChars="200"/>
        <w:rPr>
          <w:rFonts w:ascii="宋体" w:hAnsi="宋体"/>
          <w:kern w:val="0"/>
          <w:sz w:val="24"/>
        </w:rPr>
      </w:pPr>
      <w:r>
        <w:rPr>
          <w:rFonts w:hint="eastAsia" w:ascii="宋体" w:hAnsi="宋体"/>
          <w:kern w:val="0"/>
          <w:sz w:val="24"/>
        </w:rPr>
        <w:t>标准发布后由</w:t>
      </w:r>
      <w:r>
        <w:rPr>
          <w:rFonts w:hint="eastAsia" w:ascii="宋体" w:hAnsi="宋体"/>
          <w:kern w:val="0"/>
          <w:sz w:val="24"/>
          <w:lang w:val="en-US" w:eastAsia="zh-CN"/>
        </w:rPr>
        <w:t>深圳市宝联珠宝标准与信息技术促进中心</w:t>
      </w:r>
      <w:r>
        <w:rPr>
          <w:rFonts w:hint="eastAsia" w:ascii="宋体" w:hAnsi="宋体"/>
          <w:kern w:val="0"/>
          <w:sz w:val="24"/>
        </w:rPr>
        <w:t>组织、主要起草单位全力配合进行全行业宣贯。</w:t>
      </w:r>
    </w:p>
    <w:p>
      <w:pPr>
        <w:spacing w:before="156" w:beforeLines="50" w:after="156" w:afterLines="50" w:line="360" w:lineRule="auto"/>
        <w:rPr>
          <w:rFonts w:eastAsia="黑体"/>
          <w:sz w:val="28"/>
          <w:szCs w:val="28"/>
        </w:rPr>
      </w:pPr>
      <w:r>
        <w:rPr>
          <w:rFonts w:eastAsia="黑体"/>
          <w:kern w:val="0"/>
          <w:sz w:val="28"/>
          <w:szCs w:val="28"/>
        </w:rPr>
        <w:t>十一、废止现行相关标准的建议</w:t>
      </w:r>
    </w:p>
    <w:p>
      <w:pPr>
        <w:spacing w:line="360" w:lineRule="auto"/>
        <w:ind w:firstLine="480" w:firstLineChars="200"/>
        <w:rPr>
          <w:sz w:val="24"/>
        </w:rPr>
      </w:pPr>
      <w:r>
        <w:rPr>
          <w:sz w:val="24"/>
        </w:rPr>
        <w:t>无。</w:t>
      </w:r>
    </w:p>
    <w:p>
      <w:pPr>
        <w:spacing w:before="156" w:beforeLines="50" w:after="156" w:afterLines="50" w:line="360" w:lineRule="auto"/>
        <w:rPr>
          <w:rFonts w:eastAsia="黑体"/>
          <w:kern w:val="0"/>
          <w:sz w:val="28"/>
          <w:szCs w:val="28"/>
        </w:rPr>
      </w:pPr>
      <w:r>
        <w:rPr>
          <w:rFonts w:eastAsia="黑体"/>
          <w:sz w:val="28"/>
          <w:szCs w:val="28"/>
        </w:rPr>
        <w:t>十二、</w:t>
      </w:r>
      <w:r>
        <w:rPr>
          <w:rFonts w:eastAsia="黑体"/>
          <w:kern w:val="0"/>
          <w:sz w:val="28"/>
          <w:szCs w:val="28"/>
        </w:rPr>
        <w:t>其它应予说明的事项</w:t>
      </w:r>
    </w:p>
    <w:p>
      <w:pPr>
        <w:spacing w:before="62" w:beforeLines="20" w:after="62" w:afterLines="20" w:line="360" w:lineRule="auto"/>
        <w:ind w:firstLine="480" w:firstLineChars="200"/>
        <w:rPr>
          <w:rFonts w:ascii="宋体" w:hAnsi="宋体"/>
          <w:kern w:val="0"/>
          <w:sz w:val="24"/>
        </w:rPr>
      </w:pPr>
      <w:r>
        <w:rPr>
          <w:rFonts w:hint="eastAsia" w:ascii="宋体" w:hAnsi="宋体"/>
          <w:sz w:val="24"/>
        </w:rPr>
        <w:t>无</w:t>
      </w:r>
    </w:p>
    <w:sectPr>
      <w:footerReference r:id="rId5" w:type="first"/>
      <w:footerReference r:id="rId3" w:type="default"/>
      <w:footerReference r:id="rId4" w:type="even"/>
      <w:pgSz w:w="11906" w:h="16838"/>
      <w:pgMar w:top="1440" w:right="1800" w:bottom="1440" w:left="180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fldChar w:fldCharType="begin"/>
    </w:r>
    <w:r>
      <w:rPr>
        <w:rStyle w:val="9"/>
      </w:rPr>
      <w:instrText xml:space="preserve"> PAGE </w:instrText>
    </w:r>
    <w:r>
      <w:fldChar w:fldCharType="separate"/>
    </w:r>
    <w:r>
      <w:rPr>
        <w:rStyle w:val="9"/>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fldChar w:fldCharType="begin"/>
    </w:r>
    <w:r>
      <w:rPr>
        <w:rStyle w:val="9"/>
      </w:rPr>
      <w:instrText xml:space="preserve"> PAGE </w:instrText>
    </w:r>
    <w:r>
      <w:fldChar w:fldCharType="separate"/>
    </w:r>
    <w:r>
      <w:rPr>
        <w:rStyle w:val="9"/>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612B68"/>
    <w:multiLevelType w:val="multilevel"/>
    <w:tmpl w:val="38612B68"/>
    <w:lvl w:ilvl="0" w:tentative="0">
      <w:start w:val="1"/>
      <w:numFmt w:val="japaneseCounting"/>
      <w:lvlText w:val="%1、"/>
      <w:lvlJc w:val="left"/>
      <w:pPr>
        <w:tabs>
          <w:tab w:val="left" w:pos="720"/>
        </w:tabs>
        <w:ind w:left="720" w:hanging="72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decimal"/>
      <w:lvlText w:val="%3．"/>
      <w:lvlJc w:val="left"/>
      <w:pPr>
        <w:tabs>
          <w:tab w:val="left" w:pos="720"/>
        </w:tabs>
        <w:ind w:left="72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lkNWNlM2E0YjlmZjg3NjQwNGQ5MDM0NjNiYmM0YWUifQ=="/>
  </w:docVars>
  <w:rsids>
    <w:rsidRoot w:val="003C308D"/>
    <w:rsid w:val="00001E93"/>
    <w:rsid w:val="000048F2"/>
    <w:rsid w:val="000050F1"/>
    <w:rsid w:val="0000541F"/>
    <w:rsid w:val="00010710"/>
    <w:rsid w:val="00017DD7"/>
    <w:rsid w:val="00020973"/>
    <w:rsid w:val="00021B64"/>
    <w:rsid w:val="00021B71"/>
    <w:rsid w:val="000259E5"/>
    <w:rsid w:val="00031172"/>
    <w:rsid w:val="000339A3"/>
    <w:rsid w:val="00034A40"/>
    <w:rsid w:val="0004121A"/>
    <w:rsid w:val="00042BEC"/>
    <w:rsid w:val="0004648E"/>
    <w:rsid w:val="00054F88"/>
    <w:rsid w:val="000573FF"/>
    <w:rsid w:val="00060D11"/>
    <w:rsid w:val="000633F1"/>
    <w:rsid w:val="00063838"/>
    <w:rsid w:val="0007491E"/>
    <w:rsid w:val="00074F74"/>
    <w:rsid w:val="0008120C"/>
    <w:rsid w:val="00083659"/>
    <w:rsid w:val="00086590"/>
    <w:rsid w:val="0009360A"/>
    <w:rsid w:val="00096886"/>
    <w:rsid w:val="000A2961"/>
    <w:rsid w:val="000B09B2"/>
    <w:rsid w:val="000B20D2"/>
    <w:rsid w:val="000C76E8"/>
    <w:rsid w:val="000D0810"/>
    <w:rsid w:val="000D6E5E"/>
    <w:rsid w:val="000E127F"/>
    <w:rsid w:val="00114AF8"/>
    <w:rsid w:val="00115482"/>
    <w:rsid w:val="0012299A"/>
    <w:rsid w:val="0012677D"/>
    <w:rsid w:val="001347C6"/>
    <w:rsid w:val="001352E7"/>
    <w:rsid w:val="0013766C"/>
    <w:rsid w:val="00137A52"/>
    <w:rsid w:val="00140CD3"/>
    <w:rsid w:val="00151182"/>
    <w:rsid w:val="00151E79"/>
    <w:rsid w:val="00155BEC"/>
    <w:rsid w:val="00155F57"/>
    <w:rsid w:val="00157C15"/>
    <w:rsid w:val="001615D4"/>
    <w:rsid w:val="00162F52"/>
    <w:rsid w:val="00166481"/>
    <w:rsid w:val="00172EC2"/>
    <w:rsid w:val="00176AF5"/>
    <w:rsid w:val="00177CF9"/>
    <w:rsid w:val="00186222"/>
    <w:rsid w:val="00192D83"/>
    <w:rsid w:val="001A193B"/>
    <w:rsid w:val="001A2E47"/>
    <w:rsid w:val="001A4786"/>
    <w:rsid w:val="001A6303"/>
    <w:rsid w:val="001A792E"/>
    <w:rsid w:val="001C2D13"/>
    <w:rsid w:val="001C77EF"/>
    <w:rsid w:val="001D1C74"/>
    <w:rsid w:val="001D30E9"/>
    <w:rsid w:val="001E55E0"/>
    <w:rsid w:val="001E69AB"/>
    <w:rsid w:val="002012F6"/>
    <w:rsid w:val="002023D8"/>
    <w:rsid w:val="00203A23"/>
    <w:rsid w:val="00207BEC"/>
    <w:rsid w:val="00212AC3"/>
    <w:rsid w:val="00217E8E"/>
    <w:rsid w:val="00221594"/>
    <w:rsid w:val="00222EB7"/>
    <w:rsid w:val="00223BA5"/>
    <w:rsid w:val="002350A2"/>
    <w:rsid w:val="0023765F"/>
    <w:rsid w:val="00243A3C"/>
    <w:rsid w:val="002507A7"/>
    <w:rsid w:val="00250BDC"/>
    <w:rsid w:val="0025299B"/>
    <w:rsid w:val="002534F4"/>
    <w:rsid w:val="0027200B"/>
    <w:rsid w:val="00276EEE"/>
    <w:rsid w:val="002778E1"/>
    <w:rsid w:val="00283F75"/>
    <w:rsid w:val="00284E0C"/>
    <w:rsid w:val="00285DB4"/>
    <w:rsid w:val="0029004F"/>
    <w:rsid w:val="00294046"/>
    <w:rsid w:val="00295491"/>
    <w:rsid w:val="002A1184"/>
    <w:rsid w:val="002A7DF1"/>
    <w:rsid w:val="002B0975"/>
    <w:rsid w:val="002B2EC4"/>
    <w:rsid w:val="002E0BDA"/>
    <w:rsid w:val="002F477E"/>
    <w:rsid w:val="002F6397"/>
    <w:rsid w:val="0030270A"/>
    <w:rsid w:val="00312491"/>
    <w:rsid w:val="0031252F"/>
    <w:rsid w:val="003161F7"/>
    <w:rsid w:val="0033344F"/>
    <w:rsid w:val="003604E6"/>
    <w:rsid w:val="00360663"/>
    <w:rsid w:val="003608A5"/>
    <w:rsid w:val="00366948"/>
    <w:rsid w:val="00377209"/>
    <w:rsid w:val="00377421"/>
    <w:rsid w:val="003806E8"/>
    <w:rsid w:val="00384C3E"/>
    <w:rsid w:val="00385B92"/>
    <w:rsid w:val="00387949"/>
    <w:rsid w:val="00395082"/>
    <w:rsid w:val="003A40C6"/>
    <w:rsid w:val="003A41D3"/>
    <w:rsid w:val="003A735D"/>
    <w:rsid w:val="003C2F57"/>
    <w:rsid w:val="003C308D"/>
    <w:rsid w:val="003D1576"/>
    <w:rsid w:val="003D1AB9"/>
    <w:rsid w:val="003D7048"/>
    <w:rsid w:val="003D738C"/>
    <w:rsid w:val="003E03E6"/>
    <w:rsid w:val="003E67C9"/>
    <w:rsid w:val="003F067A"/>
    <w:rsid w:val="00400D09"/>
    <w:rsid w:val="00400EF7"/>
    <w:rsid w:val="00404C75"/>
    <w:rsid w:val="00423CE0"/>
    <w:rsid w:val="00424CB9"/>
    <w:rsid w:val="00444FBB"/>
    <w:rsid w:val="00447813"/>
    <w:rsid w:val="004713C9"/>
    <w:rsid w:val="004721EA"/>
    <w:rsid w:val="004753A4"/>
    <w:rsid w:val="004839FF"/>
    <w:rsid w:val="004863D4"/>
    <w:rsid w:val="00493355"/>
    <w:rsid w:val="00496EAD"/>
    <w:rsid w:val="00496FC1"/>
    <w:rsid w:val="004A2B03"/>
    <w:rsid w:val="004C520C"/>
    <w:rsid w:val="004C6B97"/>
    <w:rsid w:val="004D5CD3"/>
    <w:rsid w:val="004D6B28"/>
    <w:rsid w:val="004E0A2B"/>
    <w:rsid w:val="004E117B"/>
    <w:rsid w:val="004E1748"/>
    <w:rsid w:val="004E3B15"/>
    <w:rsid w:val="004E6838"/>
    <w:rsid w:val="004E79D9"/>
    <w:rsid w:val="00500D20"/>
    <w:rsid w:val="00500E5F"/>
    <w:rsid w:val="00501A43"/>
    <w:rsid w:val="00501F7F"/>
    <w:rsid w:val="00505063"/>
    <w:rsid w:val="005057FC"/>
    <w:rsid w:val="00512042"/>
    <w:rsid w:val="00514942"/>
    <w:rsid w:val="00515D43"/>
    <w:rsid w:val="00525D2A"/>
    <w:rsid w:val="00535D18"/>
    <w:rsid w:val="00542AEC"/>
    <w:rsid w:val="00556D72"/>
    <w:rsid w:val="00560819"/>
    <w:rsid w:val="00563AA6"/>
    <w:rsid w:val="00563F04"/>
    <w:rsid w:val="00571507"/>
    <w:rsid w:val="00577CE2"/>
    <w:rsid w:val="005A5172"/>
    <w:rsid w:val="005B59E4"/>
    <w:rsid w:val="005C1C5E"/>
    <w:rsid w:val="005C204A"/>
    <w:rsid w:val="005C562A"/>
    <w:rsid w:val="005C6180"/>
    <w:rsid w:val="005C6305"/>
    <w:rsid w:val="005C70DA"/>
    <w:rsid w:val="005C7C6B"/>
    <w:rsid w:val="005D5FD3"/>
    <w:rsid w:val="005D60AE"/>
    <w:rsid w:val="005D714F"/>
    <w:rsid w:val="005E3F2E"/>
    <w:rsid w:val="005E54AA"/>
    <w:rsid w:val="005E7E94"/>
    <w:rsid w:val="005F0B07"/>
    <w:rsid w:val="005F6CBA"/>
    <w:rsid w:val="00603FDD"/>
    <w:rsid w:val="00636697"/>
    <w:rsid w:val="00654BAC"/>
    <w:rsid w:val="00660049"/>
    <w:rsid w:val="00665F99"/>
    <w:rsid w:val="0067341F"/>
    <w:rsid w:val="006813CD"/>
    <w:rsid w:val="0069029D"/>
    <w:rsid w:val="006A3FCD"/>
    <w:rsid w:val="006A45DF"/>
    <w:rsid w:val="006A6EA4"/>
    <w:rsid w:val="006B27E2"/>
    <w:rsid w:val="006B3690"/>
    <w:rsid w:val="006C5729"/>
    <w:rsid w:val="006C7623"/>
    <w:rsid w:val="006D06CB"/>
    <w:rsid w:val="006D0E1F"/>
    <w:rsid w:val="006D4860"/>
    <w:rsid w:val="006D6B60"/>
    <w:rsid w:val="006D6DC2"/>
    <w:rsid w:val="006E6A30"/>
    <w:rsid w:val="006E74AD"/>
    <w:rsid w:val="006E77BA"/>
    <w:rsid w:val="006F312D"/>
    <w:rsid w:val="00707D91"/>
    <w:rsid w:val="007107CD"/>
    <w:rsid w:val="00717417"/>
    <w:rsid w:val="00731F8B"/>
    <w:rsid w:val="00736D53"/>
    <w:rsid w:val="00742A72"/>
    <w:rsid w:val="00743C67"/>
    <w:rsid w:val="00743F95"/>
    <w:rsid w:val="007527C5"/>
    <w:rsid w:val="00752CB2"/>
    <w:rsid w:val="007532C3"/>
    <w:rsid w:val="0076111F"/>
    <w:rsid w:val="00763AD2"/>
    <w:rsid w:val="00770107"/>
    <w:rsid w:val="007725A4"/>
    <w:rsid w:val="00772BAA"/>
    <w:rsid w:val="00775EAB"/>
    <w:rsid w:val="00780B79"/>
    <w:rsid w:val="00781BC9"/>
    <w:rsid w:val="0078310F"/>
    <w:rsid w:val="00785060"/>
    <w:rsid w:val="00785D31"/>
    <w:rsid w:val="007921B8"/>
    <w:rsid w:val="0079344B"/>
    <w:rsid w:val="00796603"/>
    <w:rsid w:val="00796C58"/>
    <w:rsid w:val="007A2191"/>
    <w:rsid w:val="007A3566"/>
    <w:rsid w:val="007A3E74"/>
    <w:rsid w:val="007B3EC4"/>
    <w:rsid w:val="007B6806"/>
    <w:rsid w:val="007C0294"/>
    <w:rsid w:val="007C4C84"/>
    <w:rsid w:val="007C5AF3"/>
    <w:rsid w:val="007E069B"/>
    <w:rsid w:val="007E3747"/>
    <w:rsid w:val="007E4E80"/>
    <w:rsid w:val="007E6A64"/>
    <w:rsid w:val="007E7BAC"/>
    <w:rsid w:val="007F087E"/>
    <w:rsid w:val="007F452C"/>
    <w:rsid w:val="007F6EEC"/>
    <w:rsid w:val="00804F8F"/>
    <w:rsid w:val="008050B6"/>
    <w:rsid w:val="008108B0"/>
    <w:rsid w:val="00812BD9"/>
    <w:rsid w:val="008159CE"/>
    <w:rsid w:val="008245C4"/>
    <w:rsid w:val="008252DF"/>
    <w:rsid w:val="008257BC"/>
    <w:rsid w:val="0083219A"/>
    <w:rsid w:val="008450C5"/>
    <w:rsid w:val="00847C1B"/>
    <w:rsid w:val="00852420"/>
    <w:rsid w:val="00854312"/>
    <w:rsid w:val="00863F4C"/>
    <w:rsid w:val="00865D12"/>
    <w:rsid w:val="008803A4"/>
    <w:rsid w:val="00881705"/>
    <w:rsid w:val="0088753E"/>
    <w:rsid w:val="008915CD"/>
    <w:rsid w:val="0089748E"/>
    <w:rsid w:val="008A1D67"/>
    <w:rsid w:val="008A4E15"/>
    <w:rsid w:val="008B1945"/>
    <w:rsid w:val="008B484A"/>
    <w:rsid w:val="008B4D8B"/>
    <w:rsid w:val="008D165B"/>
    <w:rsid w:val="008D41D7"/>
    <w:rsid w:val="008E2775"/>
    <w:rsid w:val="008E583D"/>
    <w:rsid w:val="008F423F"/>
    <w:rsid w:val="008F6BB6"/>
    <w:rsid w:val="00900B84"/>
    <w:rsid w:val="0092265D"/>
    <w:rsid w:val="0093290A"/>
    <w:rsid w:val="009368F5"/>
    <w:rsid w:val="00957C95"/>
    <w:rsid w:val="009652B4"/>
    <w:rsid w:val="00965339"/>
    <w:rsid w:val="009656A3"/>
    <w:rsid w:val="0097717F"/>
    <w:rsid w:val="00982257"/>
    <w:rsid w:val="0098522F"/>
    <w:rsid w:val="00985FFA"/>
    <w:rsid w:val="00997089"/>
    <w:rsid w:val="009A633C"/>
    <w:rsid w:val="009C220A"/>
    <w:rsid w:val="009C5418"/>
    <w:rsid w:val="009D2F38"/>
    <w:rsid w:val="009E5E65"/>
    <w:rsid w:val="009E6B23"/>
    <w:rsid w:val="009F03ED"/>
    <w:rsid w:val="009F106E"/>
    <w:rsid w:val="009F29EE"/>
    <w:rsid w:val="00A01499"/>
    <w:rsid w:val="00A042AE"/>
    <w:rsid w:val="00A11796"/>
    <w:rsid w:val="00A14B7E"/>
    <w:rsid w:val="00A159AE"/>
    <w:rsid w:val="00A16185"/>
    <w:rsid w:val="00A218FE"/>
    <w:rsid w:val="00A22587"/>
    <w:rsid w:val="00A242EC"/>
    <w:rsid w:val="00A324FB"/>
    <w:rsid w:val="00A42CE1"/>
    <w:rsid w:val="00A44340"/>
    <w:rsid w:val="00A50390"/>
    <w:rsid w:val="00A51987"/>
    <w:rsid w:val="00A60D33"/>
    <w:rsid w:val="00A677DF"/>
    <w:rsid w:val="00A67CC1"/>
    <w:rsid w:val="00A67E75"/>
    <w:rsid w:val="00A80811"/>
    <w:rsid w:val="00A8556F"/>
    <w:rsid w:val="00A90665"/>
    <w:rsid w:val="00A9349C"/>
    <w:rsid w:val="00AA13BB"/>
    <w:rsid w:val="00AA2577"/>
    <w:rsid w:val="00AA791F"/>
    <w:rsid w:val="00AB5DBC"/>
    <w:rsid w:val="00AC27D9"/>
    <w:rsid w:val="00AC42C7"/>
    <w:rsid w:val="00AC54BE"/>
    <w:rsid w:val="00AD0DC0"/>
    <w:rsid w:val="00AD1805"/>
    <w:rsid w:val="00AD1FB3"/>
    <w:rsid w:val="00AD509E"/>
    <w:rsid w:val="00AD51B6"/>
    <w:rsid w:val="00AD5847"/>
    <w:rsid w:val="00AD6503"/>
    <w:rsid w:val="00AD76BE"/>
    <w:rsid w:val="00AE1DA5"/>
    <w:rsid w:val="00AE2124"/>
    <w:rsid w:val="00AE6F74"/>
    <w:rsid w:val="00AF27FF"/>
    <w:rsid w:val="00AF6623"/>
    <w:rsid w:val="00B002BE"/>
    <w:rsid w:val="00B101F7"/>
    <w:rsid w:val="00B11672"/>
    <w:rsid w:val="00B17DA9"/>
    <w:rsid w:val="00B218C9"/>
    <w:rsid w:val="00B22362"/>
    <w:rsid w:val="00B24ED5"/>
    <w:rsid w:val="00B458CB"/>
    <w:rsid w:val="00B54C67"/>
    <w:rsid w:val="00B55DB4"/>
    <w:rsid w:val="00B561CF"/>
    <w:rsid w:val="00B712AD"/>
    <w:rsid w:val="00B82079"/>
    <w:rsid w:val="00B82B8A"/>
    <w:rsid w:val="00B93992"/>
    <w:rsid w:val="00B94305"/>
    <w:rsid w:val="00BA01E6"/>
    <w:rsid w:val="00BA5DF1"/>
    <w:rsid w:val="00BA6D18"/>
    <w:rsid w:val="00BB1C46"/>
    <w:rsid w:val="00BB260F"/>
    <w:rsid w:val="00BC2838"/>
    <w:rsid w:val="00BC312D"/>
    <w:rsid w:val="00BC59E0"/>
    <w:rsid w:val="00BC5FCE"/>
    <w:rsid w:val="00BC68E7"/>
    <w:rsid w:val="00BD02AB"/>
    <w:rsid w:val="00BD2178"/>
    <w:rsid w:val="00BE414C"/>
    <w:rsid w:val="00BE7A3A"/>
    <w:rsid w:val="00BF0026"/>
    <w:rsid w:val="00C00A2F"/>
    <w:rsid w:val="00C01DB7"/>
    <w:rsid w:val="00C03632"/>
    <w:rsid w:val="00C04E38"/>
    <w:rsid w:val="00C062AD"/>
    <w:rsid w:val="00C1049A"/>
    <w:rsid w:val="00C20D4E"/>
    <w:rsid w:val="00C217F8"/>
    <w:rsid w:val="00C25444"/>
    <w:rsid w:val="00C262E7"/>
    <w:rsid w:val="00C323D5"/>
    <w:rsid w:val="00C337C3"/>
    <w:rsid w:val="00C35BFB"/>
    <w:rsid w:val="00C42FCA"/>
    <w:rsid w:val="00C44FC0"/>
    <w:rsid w:val="00C47605"/>
    <w:rsid w:val="00C5105D"/>
    <w:rsid w:val="00C5392B"/>
    <w:rsid w:val="00C53A0E"/>
    <w:rsid w:val="00C54456"/>
    <w:rsid w:val="00C56B93"/>
    <w:rsid w:val="00C6329B"/>
    <w:rsid w:val="00C6693F"/>
    <w:rsid w:val="00C7799F"/>
    <w:rsid w:val="00C80797"/>
    <w:rsid w:val="00C8410B"/>
    <w:rsid w:val="00C852D5"/>
    <w:rsid w:val="00C90F43"/>
    <w:rsid w:val="00C93639"/>
    <w:rsid w:val="00C936E5"/>
    <w:rsid w:val="00CA63A5"/>
    <w:rsid w:val="00CB27DF"/>
    <w:rsid w:val="00CB5A01"/>
    <w:rsid w:val="00CC675D"/>
    <w:rsid w:val="00CD098F"/>
    <w:rsid w:val="00CD1158"/>
    <w:rsid w:val="00CD72C1"/>
    <w:rsid w:val="00CE040D"/>
    <w:rsid w:val="00CE3582"/>
    <w:rsid w:val="00CE488A"/>
    <w:rsid w:val="00CE6468"/>
    <w:rsid w:val="00CE69BA"/>
    <w:rsid w:val="00CF03A0"/>
    <w:rsid w:val="00CF455E"/>
    <w:rsid w:val="00D02B35"/>
    <w:rsid w:val="00D02F3E"/>
    <w:rsid w:val="00D0396F"/>
    <w:rsid w:val="00D03BEF"/>
    <w:rsid w:val="00D1214F"/>
    <w:rsid w:val="00D12A15"/>
    <w:rsid w:val="00D15BFE"/>
    <w:rsid w:val="00D23235"/>
    <w:rsid w:val="00D431E5"/>
    <w:rsid w:val="00D4445C"/>
    <w:rsid w:val="00D47761"/>
    <w:rsid w:val="00D52307"/>
    <w:rsid w:val="00D53463"/>
    <w:rsid w:val="00D57AE9"/>
    <w:rsid w:val="00D71347"/>
    <w:rsid w:val="00D73022"/>
    <w:rsid w:val="00D81E4D"/>
    <w:rsid w:val="00D93BE0"/>
    <w:rsid w:val="00D958C2"/>
    <w:rsid w:val="00DA4C07"/>
    <w:rsid w:val="00DA722D"/>
    <w:rsid w:val="00DB4127"/>
    <w:rsid w:val="00DC069B"/>
    <w:rsid w:val="00DC3CDB"/>
    <w:rsid w:val="00DD39E5"/>
    <w:rsid w:val="00E032B5"/>
    <w:rsid w:val="00E0409A"/>
    <w:rsid w:val="00E22A2E"/>
    <w:rsid w:val="00E261B6"/>
    <w:rsid w:val="00E33FC0"/>
    <w:rsid w:val="00E3660B"/>
    <w:rsid w:val="00E528EE"/>
    <w:rsid w:val="00E53717"/>
    <w:rsid w:val="00E6225C"/>
    <w:rsid w:val="00E80FC6"/>
    <w:rsid w:val="00E84F54"/>
    <w:rsid w:val="00E9153C"/>
    <w:rsid w:val="00EA3046"/>
    <w:rsid w:val="00EB1BA3"/>
    <w:rsid w:val="00EB6677"/>
    <w:rsid w:val="00EB6DB0"/>
    <w:rsid w:val="00EC2C85"/>
    <w:rsid w:val="00EC31BF"/>
    <w:rsid w:val="00EC4D5E"/>
    <w:rsid w:val="00ED401D"/>
    <w:rsid w:val="00ED4DB5"/>
    <w:rsid w:val="00ED51A5"/>
    <w:rsid w:val="00EE00B8"/>
    <w:rsid w:val="00EE6BFA"/>
    <w:rsid w:val="00EF228C"/>
    <w:rsid w:val="00F02E1B"/>
    <w:rsid w:val="00F05168"/>
    <w:rsid w:val="00F10F13"/>
    <w:rsid w:val="00F17C4E"/>
    <w:rsid w:val="00F24E32"/>
    <w:rsid w:val="00F41AB0"/>
    <w:rsid w:val="00F45C84"/>
    <w:rsid w:val="00F541B9"/>
    <w:rsid w:val="00F56FA9"/>
    <w:rsid w:val="00F62BC7"/>
    <w:rsid w:val="00F65916"/>
    <w:rsid w:val="00F665DD"/>
    <w:rsid w:val="00F717CF"/>
    <w:rsid w:val="00F83ED1"/>
    <w:rsid w:val="00F843EA"/>
    <w:rsid w:val="00F866B6"/>
    <w:rsid w:val="00F9438C"/>
    <w:rsid w:val="00F96B47"/>
    <w:rsid w:val="00F97A3B"/>
    <w:rsid w:val="00FA1E50"/>
    <w:rsid w:val="00FA5E40"/>
    <w:rsid w:val="00FB5551"/>
    <w:rsid w:val="00FB7675"/>
    <w:rsid w:val="00FC4AF5"/>
    <w:rsid w:val="00FD0DE8"/>
    <w:rsid w:val="00FD1527"/>
    <w:rsid w:val="00FD22FA"/>
    <w:rsid w:val="00FD3291"/>
    <w:rsid w:val="00FE5E52"/>
    <w:rsid w:val="00FF5C4F"/>
    <w:rsid w:val="023E3D8B"/>
    <w:rsid w:val="03991DF6"/>
    <w:rsid w:val="069074E0"/>
    <w:rsid w:val="06BA6064"/>
    <w:rsid w:val="0737795B"/>
    <w:rsid w:val="086C3A97"/>
    <w:rsid w:val="08BA4CE8"/>
    <w:rsid w:val="098D41AA"/>
    <w:rsid w:val="09B90977"/>
    <w:rsid w:val="0B2B3C7B"/>
    <w:rsid w:val="0BBC392D"/>
    <w:rsid w:val="0C232BA4"/>
    <w:rsid w:val="0C3703FE"/>
    <w:rsid w:val="0CAD2536"/>
    <w:rsid w:val="0D0E73B0"/>
    <w:rsid w:val="0E1750FB"/>
    <w:rsid w:val="10017F38"/>
    <w:rsid w:val="10036F74"/>
    <w:rsid w:val="106E1F77"/>
    <w:rsid w:val="118B7221"/>
    <w:rsid w:val="11B03C20"/>
    <w:rsid w:val="120945EA"/>
    <w:rsid w:val="1212349F"/>
    <w:rsid w:val="1252110F"/>
    <w:rsid w:val="14A14FAE"/>
    <w:rsid w:val="15227E9D"/>
    <w:rsid w:val="15BF393E"/>
    <w:rsid w:val="16D03928"/>
    <w:rsid w:val="188F394A"/>
    <w:rsid w:val="18F04FD2"/>
    <w:rsid w:val="193A32DB"/>
    <w:rsid w:val="194A79C2"/>
    <w:rsid w:val="19780B7B"/>
    <w:rsid w:val="1A345F7C"/>
    <w:rsid w:val="1C2C1B1A"/>
    <w:rsid w:val="1E28404A"/>
    <w:rsid w:val="21C63DBA"/>
    <w:rsid w:val="2226613B"/>
    <w:rsid w:val="22592A24"/>
    <w:rsid w:val="22B473B8"/>
    <w:rsid w:val="22C925A9"/>
    <w:rsid w:val="233F1C1A"/>
    <w:rsid w:val="235F050E"/>
    <w:rsid w:val="239E0669"/>
    <w:rsid w:val="24F26FF6"/>
    <w:rsid w:val="254778C3"/>
    <w:rsid w:val="259D3570"/>
    <w:rsid w:val="25B368EF"/>
    <w:rsid w:val="25DA2AA8"/>
    <w:rsid w:val="26114D9B"/>
    <w:rsid w:val="26906C30"/>
    <w:rsid w:val="26ED2E1E"/>
    <w:rsid w:val="27A75FE0"/>
    <w:rsid w:val="27F84A8D"/>
    <w:rsid w:val="28D252DE"/>
    <w:rsid w:val="29180221"/>
    <w:rsid w:val="2BA233C8"/>
    <w:rsid w:val="2BBE7D9C"/>
    <w:rsid w:val="2BC87603"/>
    <w:rsid w:val="2C22657E"/>
    <w:rsid w:val="2C55425C"/>
    <w:rsid w:val="2C7A0167"/>
    <w:rsid w:val="2C882884"/>
    <w:rsid w:val="2CB2345D"/>
    <w:rsid w:val="2EFE3B91"/>
    <w:rsid w:val="2F6A001E"/>
    <w:rsid w:val="2FF975F4"/>
    <w:rsid w:val="31394B39"/>
    <w:rsid w:val="317038E6"/>
    <w:rsid w:val="32110C25"/>
    <w:rsid w:val="32E60304"/>
    <w:rsid w:val="32F522F5"/>
    <w:rsid w:val="32F56B41"/>
    <w:rsid w:val="3435726A"/>
    <w:rsid w:val="34BD557C"/>
    <w:rsid w:val="34D82981"/>
    <w:rsid w:val="351F5D4F"/>
    <w:rsid w:val="36CA6903"/>
    <w:rsid w:val="372C4753"/>
    <w:rsid w:val="38887767"/>
    <w:rsid w:val="388D4D7E"/>
    <w:rsid w:val="39953103"/>
    <w:rsid w:val="3A9240F8"/>
    <w:rsid w:val="3AB10217"/>
    <w:rsid w:val="3AC70A1B"/>
    <w:rsid w:val="3B9C3C56"/>
    <w:rsid w:val="3C5502A8"/>
    <w:rsid w:val="3CD15B81"/>
    <w:rsid w:val="3D2008B6"/>
    <w:rsid w:val="3D7309E6"/>
    <w:rsid w:val="3E190FD5"/>
    <w:rsid w:val="3E2B7513"/>
    <w:rsid w:val="3E2D5406"/>
    <w:rsid w:val="3EA11583"/>
    <w:rsid w:val="3FA56554"/>
    <w:rsid w:val="40462B81"/>
    <w:rsid w:val="40D45C40"/>
    <w:rsid w:val="411E2251"/>
    <w:rsid w:val="41CE12BB"/>
    <w:rsid w:val="41D6046E"/>
    <w:rsid w:val="43994F1E"/>
    <w:rsid w:val="4450512E"/>
    <w:rsid w:val="44823C05"/>
    <w:rsid w:val="44F22B38"/>
    <w:rsid w:val="450D1720"/>
    <w:rsid w:val="451736D2"/>
    <w:rsid w:val="4644366A"/>
    <w:rsid w:val="46B33D0E"/>
    <w:rsid w:val="46D22C21"/>
    <w:rsid w:val="48074B4D"/>
    <w:rsid w:val="480D7C89"/>
    <w:rsid w:val="480F3A01"/>
    <w:rsid w:val="48EE3617"/>
    <w:rsid w:val="491D3EFC"/>
    <w:rsid w:val="498D72D3"/>
    <w:rsid w:val="49A14B2D"/>
    <w:rsid w:val="4A9B5526"/>
    <w:rsid w:val="4B7778F3"/>
    <w:rsid w:val="4C5145E8"/>
    <w:rsid w:val="4C843948"/>
    <w:rsid w:val="4C9A5FDC"/>
    <w:rsid w:val="4C9D15DC"/>
    <w:rsid w:val="4CD11285"/>
    <w:rsid w:val="4DAB5F7A"/>
    <w:rsid w:val="4E093DCF"/>
    <w:rsid w:val="4E401744"/>
    <w:rsid w:val="4E9702AC"/>
    <w:rsid w:val="4FDD4DBF"/>
    <w:rsid w:val="4FE3451C"/>
    <w:rsid w:val="50033E4B"/>
    <w:rsid w:val="50D11344"/>
    <w:rsid w:val="55077FE2"/>
    <w:rsid w:val="5596306C"/>
    <w:rsid w:val="55E53FF3"/>
    <w:rsid w:val="56DD7A61"/>
    <w:rsid w:val="570D4289"/>
    <w:rsid w:val="57601B83"/>
    <w:rsid w:val="5A4E03B9"/>
    <w:rsid w:val="5C5D2B35"/>
    <w:rsid w:val="5C846314"/>
    <w:rsid w:val="5DA54794"/>
    <w:rsid w:val="5DAF0B7E"/>
    <w:rsid w:val="5DD010E5"/>
    <w:rsid w:val="5E426224"/>
    <w:rsid w:val="5FB76A00"/>
    <w:rsid w:val="60471B32"/>
    <w:rsid w:val="60A55485"/>
    <w:rsid w:val="612E4AA0"/>
    <w:rsid w:val="627D7A8D"/>
    <w:rsid w:val="629D0130"/>
    <w:rsid w:val="62A039E0"/>
    <w:rsid w:val="62B2525D"/>
    <w:rsid w:val="63DA786B"/>
    <w:rsid w:val="649C7F73"/>
    <w:rsid w:val="64D23548"/>
    <w:rsid w:val="656767D3"/>
    <w:rsid w:val="6703252B"/>
    <w:rsid w:val="67332E10"/>
    <w:rsid w:val="6A8C32C1"/>
    <w:rsid w:val="6B4A697B"/>
    <w:rsid w:val="6B657311"/>
    <w:rsid w:val="6BE47535"/>
    <w:rsid w:val="6BE97F42"/>
    <w:rsid w:val="6C500F51"/>
    <w:rsid w:val="6C8859AD"/>
    <w:rsid w:val="6D21350E"/>
    <w:rsid w:val="6D7F473C"/>
    <w:rsid w:val="6DF332FA"/>
    <w:rsid w:val="6E9D3265"/>
    <w:rsid w:val="6F2179F2"/>
    <w:rsid w:val="6F3B4F58"/>
    <w:rsid w:val="6FC6039D"/>
    <w:rsid w:val="6FDD7DBD"/>
    <w:rsid w:val="6FF84BF7"/>
    <w:rsid w:val="70B679E8"/>
    <w:rsid w:val="712F289B"/>
    <w:rsid w:val="71AD1A11"/>
    <w:rsid w:val="73352723"/>
    <w:rsid w:val="76962A74"/>
    <w:rsid w:val="77476464"/>
    <w:rsid w:val="77E67A2B"/>
    <w:rsid w:val="78AC2A23"/>
    <w:rsid w:val="79492020"/>
    <w:rsid w:val="7AD017AC"/>
    <w:rsid w:val="7B6B1565"/>
    <w:rsid w:val="7C263C45"/>
    <w:rsid w:val="7C2D5C29"/>
    <w:rsid w:val="7D3D6AB7"/>
    <w:rsid w:val="7D5214C2"/>
    <w:rsid w:val="7DDD2E88"/>
    <w:rsid w:val="7E7713DD"/>
    <w:rsid w:val="7F054C3B"/>
    <w:rsid w:val="7FF86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Date"/>
    <w:basedOn w:val="1"/>
    <w:next w:val="1"/>
    <w:qFormat/>
    <w:uiPriority w:val="0"/>
    <w:pPr>
      <w:ind w:left="100" w:leftChars="25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qFormat/>
    <w:uiPriority w:val="0"/>
    <w:pPr>
      <w:ind w:firstLine="420" w:firstLineChars="100"/>
    </w:pPr>
  </w:style>
  <w:style w:type="character" w:styleId="9">
    <w:name w:val="page number"/>
    <w:basedOn w:val="8"/>
    <w:qFormat/>
    <w:uiPriority w:val="0"/>
  </w:style>
  <w:style w:type="character" w:styleId="10">
    <w:name w:val="Emphasis"/>
    <w:basedOn w:val="8"/>
    <w:qFormat/>
    <w:uiPriority w:val="0"/>
    <w:rPr>
      <w:i/>
    </w:rPr>
  </w:style>
  <w:style w:type="character" w:styleId="11">
    <w:name w:val="Hyperlink"/>
    <w:basedOn w:val="8"/>
    <w:qFormat/>
    <w:uiPriority w:val="0"/>
    <w:rPr>
      <w:color w:val="0000FF"/>
      <w:u w:val="single"/>
    </w:rPr>
  </w:style>
  <w:style w:type="character" w:customStyle="1" w:styleId="12">
    <w:name w:val="answerref"/>
    <w:basedOn w:val="8"/>
    <w:qFormat/>
    <w:uiPriority w:val="0"/>
  </w:style>
  <w:style w:type="paragraph" w:customStyle="1" w:styleId="1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WWW.YlmF.CoM</Company>
  <Pages>5</Pages>
  <Words>419</Words>
  <Characters>2392</Characters>
  <Lines>19</Lines>
  <Paragraphs>5</Paragraphs>
  <TotalTime>0</TotalTime>
  <ScaleCrop>false</ScaleCrop>
  <LinksUpToDate>false</LinksUpToDate>
  <CharactersWithSpaces>2806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2021-03-16T21:04:00Z</dcterms:created>
  <dc:creator>雨林木风</dc:creator>
  <cp:lastModifiedBy>罗雪莹</cp:lastModifiedBy>
  <cp:lastPrinted>2017-02-20T21:54:00Z</cp:lastPrinted>
  <dcterms:modified xsi:type="dcterms:W3CDTF">2022-12-08T07:54:41Z</dcterms:modified>
  <dc:title>联盟标准《铂、钯饰品合金成分》</dc:title>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7B1A9B2AF5B64AF98B27EA5B4693BD45</vt:lpwstr>
  </property>
</Properties>
</file>