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F55B97" w14:textId="77777777" w:rsidR="00B54827" w:rsidRPr="00787C02" w:rsidRDefault="0092791C">
      <w:pPr>
        <w:spacing w:before="360" w:after="360"/>
        <w:ind w:firstLineChars="0" w:firstLine="0"/>
        <w:jc w:val="center"/>
        <w:rPr>
          <w:rFonts w:asciiTheme="minorEastAsia" w:eastAsiaTheme="minorEastAsia" w:hAnsiTheme="minorEastAsia"/>
          <w:b/>
          <w:sz w:val="44"/>
          <w:szCs w:val="44"/>
        </w:rPr>
      </w:pPr>
      <w:r w:rsidRPr="00787C02">
        <w:rPr>
          <w:rFonts w:asciiTheme="minorEastAsia" w:eastAsiaTheme="minorEastAsia" w:hAnsiTheme="minorEastAsia"/>
          <w:b/>
          <w:sz w:val="44"/>
          <w:szCs w:val="44"/>
        </w:rPr>
        <w:t>《绿色票据认定指南》团体标准</w:t>
      </w:r>
      <w:r w:rsidRPr="00787C02">
        <w:rPr>
          <w:rFonts w:asciiTheme="minorEastAsia" w:eastAsiaTheme="minorEastAsia" w:hAnsiTheme="minorEastAsia"/>
          <w:b/>
          <w:sz w:val="44"/>
          <w:szCs w:val="44"/>
        </w:rPr>
        <w:br/>
        <w:t>编制说明</w:t>
      </w:r>
    </w:p>
    <w:p w14:paraId="59C791EF" w14:textId="77777777" w:rsidR="00B54827" w:rsidRPr="00787C02" w:rsidRDefault="0092791C" w:rsidP="00787C02">
      <w:pPr>
        <w:pStyle w:val="1"/>
        <w:ind w:firstLineChars="0" w:firstLine="0"/>
      </w:pPr>
      <w:r w:rsidRPr="00787C02">
        <w:t>一、项目基本情况</w:t>
      </w:r>
    </w:p>
    <w:p w14:paraId="5836751C" w14:textId="77777777" w:rsidR="00B54827" w:rsidRPr="00787C02" w:rsidRDefault="0092791C">
      <w:pPr>
        <w:pStyle w:val="2"/>
        <w:ind w:firstLine="643"/>
      </w:pPr>
      <w:r w:rsidRPr="00787C02">
        <w:rPr>
          <w:rFonts w:hint="eastAsia"/>
        </w:rPr>
        <w:t>（一）项目来源</w:t>
      </w:r>
    </w:p>
    <w:p w14:paraId="3C37939B" w14:textId="157E213B" w:rsidR="00B54827" w:rsidRPr="00787C02" w:rsidRDefault="0092791C">
      <w:pPr>
        <w:ind w:firstLine="640"/>
      </w:pPr>
      <w:r w:rsidRPr="00787C02">
        <w:rPr>
          <w:rFonts w:hint="eastAsia"/>
        </w:rPr>
        <w:t>《绿色票据认定指南》团体标准（以下简称本标准）由深圳市深圳标准促进会提出并归口，</w:t>
      </w:r>
      <w:proofErr w:type="gramStart"/>
      <w:r w:rsidRPr="00787C02">
        <w:rPr>
          <w:rFonts w:hint="eastAsia"/>
        </w:rPr>
        <w:t>盟浪可</w:t>
      </w:r>
      <w:proofErr w:type="gramEnd"/>
      <w:r w:rsidRPr="00787C02">
        <w:rPr>
          <w:rFonts w:hint="eastAsia"/>
        </w:rPr>
        <w:t>持续数字科技（深圳）有限责任公司（以下简称盟浪）负责牵头起草，中央财经大学绿色金融国际研究院（以下简称中央财大）、深圳市标准技术研究院（以下简称深圳标准院）</w:t>
      </w:r>
      <w:r w:rsidRPr="00787C02">
        <w:rPr>
          <w:rFonts w:ascii="宋体" w:hint="eastAsia"/>
          <w:kern w:val="0"/>
          <w:szCs w:val="20"/>
        </w:rPr>
        <w:t>、深圳市绿色金融协会</w:t>
      </w:r>
      <w:r w:rsidRPr="00787C02">
        <w:rPr>
          <w:rFonts w:hint="eastAsia"/>
        </w:rPr>
        <w:t>（以下简称深圳绿金协）</w:t>
      </w:r>
      <w:r w:rsidRPr="00787C02">
        <w:rPr>
          <w:rFonts w:ascii="宋体" w:hint="eastAsia"/>
          <w:kern w:val="0"/>
          <w:szCs w:val="20"/>
        </w:rPr>
        <w:t>、盈科票据服务（深圳）有限公司</w:t>
      </w:r>
      <w:r w:rsidRPr="00787C02">
        <w:rPr>
          <w:rFonts w:hint="eastAsia"/>
        </w:rPr>
        <w:t>（以下简称</w:t>
      </w:r>
      <w:r w:rsidRPr="00787C02">
        <w:rPr>
          <w:rFonts w:ascii="宋体" w:hint="eastAsia"/>
          <w:kern w:val="0"/>
          <w:szCs w:val="20"/>
        </w:rPr>
        <w:t>盈科票据</w:t>
      </w:r>
      <w:r w:rsidRPr="00787C02">
        <w:rPr>
          <w:rFonts w:hint="eastAsia"/>
        </w:rPr>
        <w:t>）</w:t>
      </w:r>
      <w:r w:rsidR="007C69D3" w:rsidRPr="00787C02">
        <w:rPr>
          <w:rFonts w:hint="eastAsia"/>
        </w:rPr>
        <w:t>、</w:t>
      </w:r>
      <w:proofErr w:type="gramStart"/>
      <w:r w:rsidR="007C69D3" w:rsidRPr="00787C02">
        <w:rPr>
          <w:rFonts w:hint="eastAsia"/>
        </w:rPr>
        <w:t>中财绿指</w:t>
      </w:r>
      <w:proofErr w:type="gramEnd"/>
      <w:r w:rsidR="007C69D3" w:rsidRPr="00787C02">
        <w:rPr>
          <w:rFonts w:hint="eastAsia"/>
        </w:rPr>
        <w:t>（北京）信息咨询有限公司（以下简称</w:t>
      </w:r>
      <w:proofErr w:type="gramStart"/>
      <w:r w:rsidR="007C69D3" w:rsidRPr="00787C02">
        <w:rPr>
          <w:rFonts w:hint="eastAsia"/>
        </w:rPr>
        <w:t>中财绿指</w:t>
      </w:r>
      <w:proofErr w:type="gramEnd"/>
      <w:r w:rsidR="007C69D3" w:rsidRPr="00787C02">
        <w:rPr>
          <w:rFonts w:hint="eastAsia"/>
        </w:rPr>
        <w:t>）</w:t>
      </w:r>
      <w:r w:rsidR="007C69D3">
        <w:rPr>
          <w:rFonts w:hint="eastAsia"/>
        </w:rPr>
        <w:t>、</w:t>
      </w:r>
      <w:r w:rsidR="007C69D3" w:rsidRPr="00F255B6">
        <w:rPr>
          <w:rFonts w:ascii="宋体" w:hint="eastAsia"/>
          <w:kern w:val="0"/>
          <w:szCs w:val="20"/>
        </w:rPr>
        <w:t>大新银行（中国）有</w:t>
      </w:r>
      <w:bookmarkStart w:id="0" w:name="_GoBack"/>
      <w:bookmarkEnd w:id="0"/>
      <w:r w:rsidR="007C69D3" w:rsidRPr="00F255B6">
        <w:rPr>
          <w:rFonts w:ascii="宋体" w:hint="eastAsia"/>
          <w:kern w:val="0"/>
          <w:szCs w:val="20"/>
        </w:rPr>
        <w:t>限公司</w:t>
      </w:r>
      <w:r w:rsidR="007C69D3">
        <w:rPr>
          <w:rFonts w:ascii="宋体" w:hint="eastAsia"/>
          <w:kern w:val="0"/>
          <w:szCs w:val="20"/>
        </w:rPr>
        <w:t>、</w:t>
      </w:r>
      <w:r w:rsidR="007C69D3" w:rsidRPr="00F255B6">
        <w:rPr>
          <w:rFonts w:ascii="宋体" w:hint="eastAsia"/>
          <w:kern w:val="0"/>
          <w:szCs w:val="20"/>
        </w:rPr>
        <w:t>华泰证券（上海）资产管理有限公司</w:t>
      </w:r>
      <w:r w:rsidR="007C69D3">
        <w:rPr>
          <w:rFonts w:ascii="宋体" w:hint="eastAsia"/>
          <w:kern w:val="0"/>
          <w:szCs w:val="20"/>
        </w:rPr>
        <w:t>、</w:t>
      </w:r>
      <w:r w:rsidR="007C69D3" w:rsidRPr="00F255B6">
        <w:rPr>
          <w:rFonts w:ascii="宋体" w:hint="eastAsia"/>
          <w:kern w:val="0"/>
          <w:szCs w:val="20"/>
        </w:rPr>
        <w:t>中国邮政储蓄银行</w:t>
      </w:r>
      <w:r w:rsidRPr="00787C02">
        <w:rPr>
          <w:rFonts w:hint="eastAsia"/>
        </w:rPr>
        <w:t>共同参与制定。</w:t>
      </w:r>
    </w:p>
    <w:p w14:paraId="3B267262" w14:textId="77777777" w:rsidR="00B54827" w:rsidRPr="00787C02" w:rsidRDefault="0092791C">
      <w:pPr>
        <w:pStyle w:val="2"/>
        <w:ind w:firstLine="643"/>
      </w:pPr>
      <w:r w:rsidRPr="00787C02">
        <w:t>（二）立项背景与必要性</w:t>
      </w:r>
    </w:p>
    <w:p w14:paraId="4CFEE19B" w14:textId="206B8660" w:rsidR="00B54827" w:rsidRPr="00787C02" w:rsidRDefault="0092791C">
      <w:pPr>
        <w:ind w:firstLine="640"/>
      </w:pPr>
      <w:r w:rsidRPr="00787C02">
        <w:rPr>
          <w:rFonts w:hint="eastAsia"/>
        </w:rPr>
        <w:t>本标准通过定义绿色票据，提出绿色票据认定应遵循的标准与流程，旨在进一步规范绿色票据的认定与管理，更好发挥供应链带动作用，支持中小</w:t>
      </w:r>
      <w:proofErr w:type="gramStart"/>
      <w:r w:rsidRPr="00787C02">
        <w:rPr>
          <w:rFonts w:hint="eastAsia"/>
        </w:rPr>
        <w:t>微企业</w:t>
      </w:r>
      <w:proofErr w:type="gramEnd"/>
      <w:r w:rsidRPr="00787C02">
        <w:rPr>
          <w:rFonts w:hint="eastAsia"/>
        </w:rPr>
        <w:t>开展支持应对气候变化、环境改善、资源节约高效利用和生态系统保护等经济活动，推动绿色金融与普惠金融融合发展，助力实体经济绿色</w:t>
      </w:r>
      <w:r w:rsidRPr="00787C02">
        <w:rPr>
          <w:rFonts w:hint="eastAsia"/>
        </w:rPr>
        <w:lastRenderedPageBreak/>
        <w:t>低碳转型。</w:t>
      </w:r>
    </w:p>
    <w:p w14:paraId="6921E680" w14:textId="77777777" w:rsidR="00B54827" w:rsidRPr="00787C02" w:rsidRDefault="0092791C">
      <w:pPr>
        <w:ind w:firstLine="643"/>
      </w:pPr>
      <w:r w:rsidRPr="00787C02">
        <w:rPr>
          <w:rFonts w:hint="eastAsia"/>
          <w:b/>
        </w:rPr>
        <w:t>一是落实国家绿色金融发展战略。</w:t>
      </w:r>
      <w:r w:rsidRPr="00787C02">
        <w:rPr>
          <w:rFonts w:hint="eastAsia"/>
        </w:rPr>
        <w:t>绿色票据是构建绿色金融体系的重要内容，具有支付、结算、信用、融资、交易和投资等多重功能，同时还是商业银行调节绿色信贷规模和资金最灵活、最有力的工具，也是人民银行货币政策工具再贴现的重要载体。发展绿色票据业务，能够切实提升货币政策资金支持绿色实体效能，撬动社会资本加速流向绿色产业，助力我国碳达峰碳中和目标实现。</w:t>
      </w:r>
    </w:p>
    <w:p w14:paraId="5494AB9E" w14:textId="4B360F5B" w:rsidR="00B54827" w:rsidRPr="00787C02" w:rsidRDefault="0092791C">
      <w:pPr>
        <w:ind w:firstLine="643"/>
      </w:pPr>
      <w:r w:rsidRPr="00787C02">
        <w:rPr>
          <w:rFonts w:hint="eastAsia"/>
          <w:b/>
        </w:rPr>
        <w:t>二是有效推动绿色供应链发展。</w:t>
      </w:r>
      <w:r w:rsidRPr="00787C02">
        <w:rPr>
          <w:rFonts w:hint="eastAsia"/>
        </w:rPr>
        <w:t>供应链票据具有可拆分、可转让的特点，能够帮助企业减少应收账款、实现快速融资，并且通过传递核心企业的优质信用，帮助中小企业以较低利率进行融资。供应链票据的绿色化，有助于改善供应链上下游绿色企业的资产负债结构，化解应收应付款矛盾，提升绿色企业的综合竞争力。同时吸引更多投资者进入票据市场，进一步推动绿色供应链发展。</w:t>
      </w:r>
    </w:p>
    <w:p w14:paraId="6688B48C" w14:textId="77777777" w:rsidR="00B54827" w:rsidRPr="00787C02" w:rsidRDefault="0092791C">
      <w:pPr>
        <w:ind w:firstLine="643"/>
      </w:pPr>
      <w:r w:rsidRPr="00787C02">
        <w:rPr>
          <w:rFonts w:hint="eastAsia"/>
          <w:b/>
        </w:rPr>
        <w:t>三是精准赋能中小</w:t>
      </w:r>
      <w:proofErr w:type="gramStart"/>
      <w:r w:rsidRPr="00787C02">
        <w:rPr>
          <w:rFonts w:hint="eastAsia"/>
          <w:b/>
        </w:rPr>
        <w:t>微企业</w:t>
      </w:r>
      <w:proofErr w:type="gramEnd"/>
      <w:r w:rsidRPr="00787C02">
        <w:rPr>
          <w:rFonts w:hint="eastAsia"/>
          <w:b/>
        </w:rPr>
        <w:t>绿色发展。</w:t>
      </w:r>
      <w:r w:rsidRPr="00787C02">
        <w:rPr>
          <w:rFonts w:hint="eastAsia"/>
        </w:rPr>
        <w:t>票据是最能满足中小</w:t>
      </w:r>
      <w:proofErr w:type="gramStart"/>
      <w:r w:rsidRPr="00787C02">
        <w:rPr>
          <w:rFonts w:hint="eastAsia"/>
        </w:rPr>
        <w:t>微企业</w:t>
      </w:r>
      <w:proofErr w:type="gramEnd"/>
      <w:r w:rsidRPr="00787C02">
        <w:rPr>
          <w:rFonts w:hint="eastAsia"/>
        </w:rPr>
        <w:t>短期、高频、小额融资需求的金融工具。发展绿色票据业务，将进一步提高绿色金融体系在中小</w:t>
      </w:r>
      <w:proofErr w:type="gramStart"/>
      <w:r w:rsidRPr="00787C02">
        <w:rPr>
          <w:rFonts w:hint="eastAsia"/>
        </w:rPr>
        <w:t>微企业</w:t>
      </w:r>
      <w:proofErr w:type="gramEnd"/>
      <w:r w:rsidRPr="00787C02">
        <w:rPr>
          <w:rFonts w:hint="eastAsia"/>
        </w:rPr>
        <w:t>的渗透率，盘活绿色中小</w:t>
      </w:r>
      <w:proofErr w:type="gramStart"/>
      <w:r w:rsidRPr="00787C02">
        <w:rPr>
          <w:rFonts w:hint="eastAsia"/>
        </w:rPr>
        <w:t>微企业</w:t>
      </w:r>
      <w:proofErr w:type="gramEnd"/>
      <w:r w:rsidRPr="00787C02">
        <w:rPr>
          <w:rFonts w:hint="eastAsia"/>
        </w:rPr>
        <w:t>应收账款，满足企业的短期融资需求，同时优化中小</w:t>
      </w:r>
      <w:proofErr w:type="gramStart"/>
      <w:r w:rsidRPr="00787C02">
        <w:rPr>
          <w:rFonts w:hint="eastAsia"/>
        </w:rPr>
        <w:t>微企业</w:t>
      </w:r>
      <w:proofErr w:type="gramEnd"/>
      <w:r w:rsidRPr="00787C02">
        <w:rPr>
          <w:rFonts w:hint="eastAsia"/>
        </w:rPr>
        <w:t>财务报表，进一步激发中小</w:t>
      </w:r>
      <w:proofErr w:type="gramStart"/>
      <w:r w:rsidRPr="00787C02">
        <w:rPr>
          <w:rFonts w:hint="eastAsia"/>
        </w:rPr>
        <w:t>微企业</w:t>
      </w:r>
      <w:proofErr w:type="gramEnd"/>
      <w:r w:rsidRPr="00787C02">
        <w:rPr>
          <w:rFonts w:hint="eastAsia"/>
        </w:rPr>
        <w:t>绿色低碳转型的内生驱动力，提升绿色产业的活力和效率。</w:t>
      </w:r>
    </w:p>
    <w:p w14:paraId="25834B22" w14:textId="73F7F776" w:rsidR="00B54827" w:rsidRPr="00787C02" w:rsidRDefault="0092791C">
      <w:pPr>
        <w:ind w:firstLine="643"/>
      </w:pPr>
      <w:r w:rsidRPr="00787C02">
        <w:rPr>
          <w:rFonts w:hint="eastAsia"/>
          <w:b/>
        </w:rPr>
        <w:t>四是尽快补齐绿色票据发展短板。</w:t>
      </w:r>
      <w:r w:rsidRPr="00787C02">
        <w:rPr>
          <w:rFonts w:hint="eastAsia"/>
        </w:rPr>
        <w:t>当前，我国绿色票据</w:t>
      </w:r>
      <w:r w:rsidRPr="00787C02">
        <w:rPr>
          <w:rFonts w:hint="eastAsia"/>
        </w:rPr>
        <w:lastRenderedPageBreak/>
        <w:t>发展缺乏清晰的绿色票据定义和评价标准，以及权威的认定机制和透明的信息披露机制，存在“漂绿”等绿色风险。</w:t>
      </w:r>
      <w:r w:rsidRPr="00787C02">
        <w:rPr>
          <w:rFonts w:hint="eastAsia"/>
        </w:rPr>
        <w:t>2018</w:t>
      </w:r>
      <w:r w:rsidRPr="00787C02">
        <w:rPr>
          <w:rFonts w:hint="eastAsia"/>
        </w:rPr>
        <w:t>年</w:t>
      </w:r>
      <w:r w:rsidRPr="00787C02">
        <w:rPr>
          <w:rFonts w:hint="eastAsia"/>
        </w:rPr>
        <w:t>9</w:t>
      </w:r>
      <w:r w:rsidRPr="00787C02">
        <w:rPr>
          <w:rFonts w:hint="eastAsia"/>
        </w:rPr>
        <w:t>月，中国人民银行成立绿色金融标准化工作组，旨在加快制定国内统一、国际接轨的绿色金融标准，更好地规范国内绿色金融市场发展。因此，明确绿色票据定义，规范绿色票据认定规则和认定流程，有助于切实完善落实绿色金融标准体系，补齐绿色票据发展短板。</w:t>
      </w:r>
    </w:p>
    <w:p w14:paraId="38E61CE3" w14:textId="77777777" w:rsidR="00B54827" w:rsidRPr="00787C02" w:rsidRDefault="0092791C">
      <w:pPr>
        <w:ind w:firstLine="643"/>
      </w:pPr>
      <w:r w:rsidRPr="00787C02">
        <w:rPr>
          <w:rFonts w:hint="eastAsia"/>
          <w:b/>
        </w:rPr>
        <w:t>五是助力深圳发展绿色金融。</w:t>
      </w:r>
      <w:r w:rsidRPr="00787C02">
        <w:rPr>
          <w:rFonts w:hint="eastAsia"/>
        </w:rPr>
        <w:t>深圳产业结构总体偏轻，支撑绿色金融发展的新能源、</w:t>
      </w:r>
      <w:r w:rsidRPr="00787C02">
        <w:rPr>
          <w:rFonts w:hint="eastAsia"/>
        </w:rPr>
        <w:t>CCUS</w:t>
      </w:r>
      <w:r w:rsidRPr="00787C02">
        <w:rPr>
          <w:rFonts w:hint="eastAsia"/>
        </w:rPr>
        <w:t>等传统项目数量偏少，但深圳产业链条核心企业数量多，产业链条</w:t>
      </w:r>
      <w:proofErr w:type="gramStart"/>
      <w:r w:rsidRPr="00787C02">
        <w:rPr>
          <w:rFonts w:hint="eastAsia"/>
        </w:rPr>
        <w:t>幅射</w:t>
      </w:r>
      <w:proofErr w:type="gramEnd"/>
      <w:r w:rsidRPr="00787C02">
        <w:rPr>
          <w:rFonts w:hint="eastAsia"/>
        </w:rPr>
        <w:t>范围广，因此，发展绿色票据有助于发挥深圳产业结构特色优势，促进深圳绿色金融发展，同时树立深圳绿色金融服务全国的形象。</w:t>
      </w:r>
    </w:p>
    <w:p w14:paraId="6EEEF984" w14:textId="77777777" w:rsidR="00B54827" w:rsidRPr="00787C02" w:rsidRDefault="0092791C" w:rsidP="00787C02">
      <w:pPr>
        <w:pStyle w:val="1"/>
        <w:ind w:firstLineChars="0" w:firstLine="0"/>
      </w:pPr>
      <w:r w:rsidRPr="00787C02">
        <w:rPr>
          <w:rFonts w:hint="eastAsia"/>
        </w:rPr>
        <w:t>二、编制过程与思路</w:t>
      </w:r>
    </w:p>
    <w:p w14:paraId="60E740FA" w14:textId="77777777" w:rsidR="00B54827" w:rsidRPr="00787C02" w:rsidRDefault="0092791C">
      <w:pPr>
        <w:pStyle w:val="2"/>
        <w:ind w:firstLine="643"/>
      </w:pPr>
      <w:r w:rsidRPr="00787C02">
        <w:t>（一）编制过程</w:t>
      </w:r>
    </w:p>
    <w:p w14:paraId="22B492C2" w14:textId="77777777" w:rsidR="00B54827" w:rsidRPr="00787C02" w:rsidRDefault="0092791C">
      <w:pPr>
        <w:ind w:firstLine="640"/>
      </w:pPr>
      <w:r w:rsidRPr="00787C02">
        <w:rPr>
          <w:rFonts w:hint="eastAsia"/>
        </w:rPr>
        <w:t>前期实践：</w:t>
      </w:r>
      <w:r w:rsidRPr="00787C02">
        <w:t>2018</w:t>
      </w:r>
      <w:r w:rsidRPr="00787C02">
        <w:rPr>
          <w:rFonts w:hint="eastAsia"/>
        </w:rPr>
        <w:t>年</w:t>
      </w:r>
      <w:r w:rsidRPr="00787C02">
        <w:t>10</w:t>
      </w:r>
      <w:r w:rsidRPr="00787C02">
        <w:rPr>
          <w:rFonts w:hint="eastAsia"/>
        </w:rPr>
        <w:t>月，中国人民银行深圳中心支行设立首批规模</w:t>
      </w:r>
      <w:r w:rsidRPr="00787C02">
        <w:t>10</w:t>
      </w:r>
      <w:r w:rsidRPr="00787C02">
        <w:rPr>
          <w:rFonts w:hint="eastAsia"/>
        </w:rPr>
        <w:t>亿元的“绿票通”专项再贴现额度，牵头起草单位主要起草人负责为符合“绿票通”业务条件的“绿色企业”和票据的绿色属性提供认定服务。</w:t>
      </w:r>
    </w:p>
    <w:p w14:paraId="185BDC95" w14:textId="77777777" w:rsidR="00B54827" w:rsidRPr="00787C02" w:rsidRDefault="0092791C">
      <w:pPr>
        <w:ind w:firstLine="640"/>
      </w:pPr>
      <w:r w:rsidRPr="00787C02">
        <w:rPr>
          <w:rFonts w:hint="eastAsia"/>
        </w:rPr>
        <w:t>基础研究：</w:t>
      </w:r>
      <w:r w:rsidRPr="00787C02">
        <w:t>2021</w:t>
      </w:r>
      <w:r w:rsidRPr="00787C02">
        <w:rPr>
          <w:rFonts w:hint="eastAsia"/>
        </w:rPr>
        <w:t>年起，牵头起草单位与中央财大等其他起草单位开展绿色票据评价标准和实施路径的基础研究，结合各地绿色金融改革创新试验区建设，积极探索绿色票据在</w:t>
      </w:r>
      <w:r w:rsidRPr="00787C02">
        <w:rPr>
          <w:rFonts w:hint="eastAsia"/>
        </w:rPr>
        <w:lastRenderedPageBreak/>
        <w:t>深圳的实施路径，并组织多次交流会。</w:t>
      </w:r>
    </w:p>
    <w:p w14:paraId="1729F601" w14:textId="6BFE7D7D" w:rsidR="00B54827" w:rsidRPr="00787C02" w:rsidRDefault="0092791C">
      <w:pPr>
        <w:ind w:firstLine="640"/>
      </w:pPr>
      <w:r w:rsidRPr="00787C02">
        <w:rPr>
          <w:rFonts w:hint="eastAsia"/>
        </w:rPr>
        <w:t>市场调研：</w:t>
      </w:r>
      <w:r w:rsidRPr="00787C02">
        <w:rPr>
          <w:rFonts w:hint="eastAsia"/>
        </w:rPr>
        <w:t>2022</w:t>
      </w:r>
      <w:r w:rsidRPr="00787C02">
        <w:rPr>
          <w:rFonts w:hint="eastAsia"/>
        </w:rPr>
        <w:t>年</w:t>
      </w:r>
      <w:r w:rsidRPr="00787C02">
        <w:rPr>
          <w:rFonts w:hint="eastAsia"/>
        </w:rPr>
        <w:t>3</w:t>
      </w:r>
      <w:r w:rsidRPr="00787C02">
        <w:rPr>
          <w:rFonts w:hint="eastAsia"/>
        </w:rPr>
        <w:t>月</w:t>
      </w:r>
      <w:r w:rsidRPr="00787C02">
        <w:rPr>
          <w:rFonts w:hint="eastAsia"/>
        </w:rPr>
        <w:t>30</w:t>
      </w:r>
      <w:r w:rsidRPr="00787C02">
        <w:rPr>
          <w:rFonts w:hint="eastAsia"/>
        </w:rPr>
        <w:t>日，牵头起草单位联合盈科票据开展票据市场调研活动，探讨绿色票据业务。</w:t>
      </w:r>
    </w:p>
    <w:p w14:paraId="3FCF4ED8" w14:textId="77777777" w:rsidR="00B54827" w:rsidRPr="00787C02" w:rsidRDefault="0092791C">
      <w:pPr>
        <w:ind w:firstLine="640"/>
      </w:pPr>
      <w:r w:rsidRPr="00787C02">
        <w:rPr>
          <w:rFonts w:hint="eastAsia"/>
        </w:rPr>
        <w:t>工具开发：</w:t>
      </w:r>
      <w:r w:rsidRPr="00787C02">
        <w:rPr>
          <w:rFonts w:hint="eastAsia"/>
        </w:rPr>
        <w:t>2022</w:t>
      </w:r>
      <w:r w:rsidRPr="00787C02">
        <w:rPr>
          <w:rFonts w:hint="eastAsia"/>
        </w:rPr>
        <w:t>年</w:t>
      </w:r>
      <w:r w:rsidRPr="00787C02">
        <w:rPr>
          <w:rFonts w:hint="eastAsia"/>
        </w:rPr>
        <w:t>4</w:t>
      </w:r>
      <w:r w:rsidRPr="00787C02">
        <w:rPr>
          <w:rFonts w:hint="eastAsia"/>
        </w:rPr>
        <w:t>月，牵头起草单位开展绿色票据智能识别工具研发立项。</w:t>
      </w:r>
    </w:p>
    <w:p w14:paraId="0F107D14" w14:textId="1D211F72" w:rsidR="00B54827" w:rsidRPr="00787C02" w:rsidRDefault="0092791C">
      <w:pPr>
        <w:ind w:firstLine="640"/>
      </w:pPr>
      <w:r w:rsidRPr="00787C02">
        <w:rPr>
          <w:rFonts w:hint="eastAsia"/>
        </w:rPr>
        <w:t>邀请编制：</w:t>
      </w:r>
      <w:r w:rsidRPr="00787C02">
        <w:rPr>
          <w:rFonts w:hint="eastAsia"/>
        </w:rPr>
        <w:t>2022</w:t>
      </w:r>
      <w:r w:rsidRPr="00787C02">
        <w:rPr>
          <w:rFonts w:hint="eastAsia"/>
        </w:rPr>
        <w:t>年</w:t>
      </w:r>
      <w:r w:rsidRPr="00787C02">
        <w:rPr>
          <w:rFonts w:hint="eastAsia"/>
        </w:rPr>
        <w:t>4</w:t>
      </w:r>
      <w:r w:rsidRPr="00787C02">
        <w:rPr>
          <w:rFonts w:hint="eastAsia"/>
        </w:rPr>
        <w:t>月</w:t>
      </w:r>
      <w:r w:rsidRPr="00787C02">
        <w:rPr>
          <w:rFonts w:hint="eastAsia"/>
        </w:rPr>
        <w:t>-7</w:t>
      </w:r>
      <w:r w:rsidRPr="00787C02">
        <w:rPr>
          <w:rFonts w:hint="eastAsia"/>
        </w:rPr>
        <w:t>月，牵头起草单位与有意向参与绿色票据认定标准编制的相关单位召开六次内部交流会，明确参编意向，交流标准意见，成立编制项目组。</w:t>
      </w:r>
    </w:p>
    <w:p w14:paraId="069B1C1F" w14:textId="1AC015C8" w:rsidR="00B54827" w:rsidRPr="00787C02" w:rsidRDefault="0092791C">
      <w:pPr>
        <w:ind w:firstLine="640"/>
      </w:pPr>
      <w:r w:rsidRPr="00787C02">
        <w:rPr>
          <w:rFonts w:hint="eastAsia"/>
        </w:rPr>
        <w:t>立项论证：</w:t>
      </w:r>
      <w:r w:rsidRPr="00787C02">
        <w:rPr>
          <w:rFonts w:hint="eastAsia"/>
        </w:rPr>
        <w:t>2</w:t>
      </w:r>
      <w:r w:rsidRPr="00787C02">
        <w:t>022</w:t>
      </w:r>
      <w:r w:rsidRPr="00787C02">
        <w:t>年</w:t>
      </w:r>
      <w:r w:rsidRPr="00787C02">
        <w:rPr>
          <w:rFonts w:hint="eastAsia"/>
        </w:rPr>
        <w:t>7</w:t>
      </w:r>
      <w:r w:rsidRPr="00787C02">
        <w:rPr>
          <w:rFonts w:hint="eastAsia"/>
        </w:rPr>
        <w:t>月</w:t>
      </w:r>
      <w:r w:rsidRPr="00787C02">
        <w:rPr>
          <w:rFonts w:hint="eastAsia"/>
        </w:rPr>
        <w:t>7</w:t>
      </w:r>
      <w:r w:rsidRPr="00787C02">
        <w:rPr>
          <w:rFonts w:hint="eastAsia"/>
        </w:rPr>
        <w:t>日，项目组组织召开《绿色票据认定指南》团体标准项目立项论证会，与会</w:t>
      </w:r>
      <w:r w:rsidRPr="00787C02">
        <w:rPr>
          <w:rFonts w:hint="eastAsia"/>
        </w:rPr>
        <w:t>5</w:t>
      </w:r>
      <w:r w:rsidRPr="00787C02">
        <w:rPr>
          <w:rFonts w:hint="eastAsia"/>
        </w:rPr>
        <w:t>位专家一致同意立项。</w:t>
      </w:r>
    </w:p>
    <w:p w14:paraId="0792790D" w14:textId="56106A6E" w:rsidR="00B54827" w:rsidRPr="00787C02" w:rsidRDefault="0092791C">
      <w:pPr>
        <w:ind w:firstLine="640"/>
      </w:pPr>
      <w:r w:rsidRPr="00787C02">
        <w:rPr>
          <w:rFonts w:hint="eastAsia"/>
        </w:rPr>
        <w:t>立项批准：</w:t>
      </w:r>
      <w:r w:rsidRPr="00787C02">
        <w:rPr>
          <w:rFonts w:hint="eastAsia"/>
        </w:rPr>
        <w:t>2</w:t>
      </w:r>
      <w:r w:rsidRPr="00787C02">
        <w:t>022</w:t>
      </w:r>
      <w:r w:rsidRPr="00787C02">
        <w:t>年</w:t>
      </w:r>
      <w:r w:rsidRPr="00787C02">
        <w:rPr>
          <w:rFonts w:hint="eastAsia"/>
        </w:rPr>
        <w:t>7</w:t>
      </w:r>
      <w:r w:rsidRPr="00787C02">
        <w:rPr>
          <w:rFonts w:hint="eastAsia"/>
        </w:rPr>
        <w:t>月</w:t>
      </w:r>
      <w:r w:rsidRPr="00787C02">
        <w:t>12</w:t>
      </w:r>
      <w:r w:rsidRPr="00787C02">
        <w:t>日，深圳市深圳标准促进会批准</w:t>
      </w:r>
      <w:r w:rsidRPr="00787C02">
        <w:rPr>
          <w:rFonts w:hint="eastAsia"/>
        </w:rPr>
        <w:t>《绿色票据认定指南》团体标准立项申请。</w:t>
      </w:r>
    </w:p>
    <w:p w14:paraId="193AAC82" w14:textId="7555CC8B" w:rsidR="00B54827" w:rsidRPr="00787C02" w:rsidRDefault="0092791C">
      <w:pPr>
        <w:ind w:firstLine="640"/>
      </w:pPr>
      <w:r w:rsidRPr="00787C02">
        <w:rPr>
          <w:rFonts w:hint="eastAsia"/>
        </w:rPr>
        <w:t>编制草案：</w:t>
      </w:r>
      <w:r w:rsidRPr="00787C02">
        <w:rPr>
          <w:rFonts w:hint="eastAsia"/>
        </w:rPr>
        <w:t>2</w:t>
      </w:r>
      <w:r w:rsidRPr="00787C02">
        <w:t>022</w:t>
      </w:r>
      <w:r w:rsidRPr="00787C02">
        <w:t>年</w:t>
      </w:r>
      <w:r w:rsidRPr="00787C02">
        <w:t>7</w:t>
      </w:r>
      <w:r w:rsidRPr="00787C02">
        <w:rPr>
          <w:rFonts w:hint="eastAsia"/>
        </w:rPr>
        <w:t>月</w:t>
      </w:r>
      <w:r w:rsidRPr="00787C02">
        <w:t>27</w:t>
      </w:r>
      <w:r w:rsidRPr="00787C02">
        <w:rPr>
          <w:rFonts w:hint="eastAsia"/>
        </w:rPr>
        <w:t>日，项目组编制形成《绿色票据认定指南（草案）》文本。</w:t>
      </w:r>
    </w:p>
    <w:p w14:paraId="7AF8C752" w14:textId="77777777" w:rsidR="00B54827" w:rsidRPr="00787C02" w:rsidRDefault="0092791C">
      <w:pPr>
        <w:ind w:firstLine="640"/>
      </w:pPr>
      <w:r w:rsidRPr="00787C02">
        <w:rPr>
          <w:rFonts w:hint="eastAsia"/>
        </w:rPr>
        <w:t>草案论证：</w:t>
      </w:r>
      <w:r w:rsidRPr="00787C02">
        <w:rPr>
          <w:rFonts w:hint="eastAsia"/>
        </w:rPr>
        <w:t>2022</w:t>
      </w:r>
      <w:r w:rsidRPr="00787C02">
        <w:rPr>
          <w:rFonts w:hint="eastAsia"/>
        </w:rPr>
        <w:t>年</w:t>
      </w:r>
      <w:r w:rsidRPr="00787C02">
        <w:rPr>
          <w:rFonts w:hint="eastAsia"/>
        </w:rPr>
        <w:t>7</w:t>
      </w:r>
      <w:r w:rsidRPr="00787C02">
        <w:rPr>
          <w:rFonts w:hint="eastAsia"/>
        </w:rPr>
        <w:t>月</w:t>
      </w:r>
      <w:r w:rsidRPr="00787C02">
        <w:rPr>
          <w:rFonts w:hint="eastAsia"/>
        </w:rPr>
        <w:t>29</w:t>
      </w:r>
      <w:r w:rsidRPr="00787C02">
        <w:rPr>
          <w:rFonts w:hint="eastAsia"/>
        </w:rPr>
        <w:t>日，项目组召开《绿色票据认定指南（草案）》专家研讨会，相关金融监管部门、标准监管部门、近</w:t>
      </w:r>
      <w:r w:rsidRPr="00787C02">
        <w:rPr>
          <w:rFonts w:hint="eastAsia"/>
        </w:rPr>
        <w:t>30</w:t>
      </w:r>
      <w:r w:rsidRPr="00787C02">
        <w:rPr>
          <w:rFonts w:hint="eastAsia"/>
        </w:rPr>
        <w:t>家银行代表、近</w:t>
      </w:r>
      <w:r w:rsidRPr="00787C02">
        <w:rPr>
          <w:rFonts w:hint="eastAsia"/>
        </w:rPr>
        <w:t>20</w:t>
      </w:r>
      <w:r w:rsidRPr="00787C02">
        <w:rPr>
          <w:rFonts w:hint="eastAsia"/>
        </w:rPr>
        <w:t>家财务公司</w:t>
      </w:r>
      <w:proofErr w:type="gramStart"/>
      <w:r w:rsidRPr="00787C02">
        <w:rPr>
          <w:rFonts w:hint="eastAsia"/>
        </w:rPr>
        <w:t>代表线</w:t>
      </w:r>
      <w:proofErr w:type="gramEnd"/>
      <w:r w:rsidRPr="00787C02">
        <w:rPr>
          <w:rFonts w:hint="eastAsia"/>
        </w:rPr>
        <w:t>上线下参会并提出修订意见。</w:t>
      </w:r>
    </w:p>
    <w:p w14:paraId="35039BA9" w14:textId="3AFDB009" w:rsidR="00B54827" w:rsidRPr="00787C02" w:rsidRDefault="0092791C">
      <w:pPr>
        <w:ind w:firstLine="640"/>
      </w:pPr>
      <w:r w:rsidRPr="00787C02">
        <w:rPr>
          <w:rFonts w:hint="eastAsia"/>
        </w:rPr>
        <w:t>形成征求意见稿：</w:t>
      </w:r>
      <w:r w:rsidRPr="00787C02">
        <w:rPr>
          <w:rFonts w:hint="eastAsia"/>
        </w:rPr>
        <w:t>2022</w:t>
      </w:r>
      <w:r w:rsidRPr="00787C02">
        <w:rPr>
          <w:rFonts w:hint="eastAsia"/>
        </w:rPr>
        <w:t>年</w:t>
      </w:r>
      <w:r w:rsidRPr="00787C02">
        <w:t>8</w:t>
      </w:r>
      <w:r w:rsidRPr="00787C02">
        <w:rPr>
          <w:rFonts w:hint="eastAsia"/>
        </w:rPr>
        <w:t>月</w:t>
      </w:r>
      <w:r w:rsidR="00C630DF">
        <w:t>5</w:t>
      </w:r>
      <w:r w:rsidRPr="00787C02">
        <w:rPr>
          <w:rFonts w:hint="eastAsia"/>
        </w:rPr>
        <w:t>日，项目组根据专家研讨会提出的建议，修订完成《绿色票据认定指南（征求意见稿）》，提交深圳市深圳标准促进会审议。</w:t>
      </w:r>
    </w:p>
    <w:p w14:paraId="66777A6F" w14:textId="77777777" w:rsidR="00B54827" w:rsidRPr="00787C02" w:rsidRDefault="0092791C">
      <w:pPr>
        <w:pStyle w:val="2"/>
        <w:ind w:firstLine="643"/>
      </w:pPr>
      <w:r w:rsidRPr="00787C02">
        <w:lastRenderedPageBreak/>
        <w:t>（二）编制原则</w:t>
      </w:r>
    </w:p>
    <w:p w14:paraId="10A0DE93" w14:textId="731F3AEB" w:rsidR="00B54827" w:rsidRPr="00787C02" w:rsidRDefault="0092791C">
      <w:pPr>
        <w:ind w:firstLine="640"/>
      </w:pPr>
      <w:r w:rsidRPr="00787C02">
        <w:rPr>
          <w:rFonts w:hint="eastAsia"/>
        </w:rPr>
        <w:t>根据对票据及其他绿色金融标准的分析，结合票据业务特点及发展绿色票据的意义，明确以下四项绿色票据认定原则：</w:t>
      </w:r>
    </w:p>
    <w:p w14:paraId="0687769C" w14:textId="58391FFA" w:rsidR="00B54827" w:rsidRPr="00787C02" w:rsidRDefault="0092791C">
      <w:pPr>
        <w:ind w:firstLine="643"/>
      </w:pPr>
      <w:r w:rsidRPr="00787C02">
        <w:rPr>
          <w:rFonts w:hint="eastAsia"/>
          <w:b/>
        </w:rPr>
        <w:t>1</w:t>
      </w:r>
      <w:r w:rsidRPr="00787C02">
        <w:rPr>
          <w:b/>
        </w:rPr>
        <w:t xml:space="preserve">. </w:t>
      </w:r>
      <w:r w:rsidRPr="00787C02">
        <w:rPr>
          <w:rFonts w:hint="eastAsia"/>
          <w:b/>
        </w:rPr>
        <w:t>可识别。</w:t>
      </w:r>
      <w:r w:rsidRPr="00787C02">
        <w:rPr>
          <w:rFonts w:hint="eastAsia"/>
        </w:rPr>
        <w:t>一方面，准确识别“绿色”，有效防范“漂绿”、“洗绿”风险，确保绿色票据的支持对象与绿色金融</w:t>
      </w:r>
      <w:r w:rsidRPr="00787C02">
        <w:t>应用目标、</w:t>
      </w:r>
      <w:r w:rsidRPr="00787C02">
        <w:rPr>
          <w:rFonts w:hint="eastAsia"/>
        </w:rPr>
        <w:t>绿色产业发展方向相一致。另一方面，优化现行识别认定方法，解决传统评价方法中数据难获取、信息更新滞后、评价方法专业性要求</w:t>
      </w:r>
      <w:proofErr w:type="gramStart"/>
      <w:r w:rsidRPr="00787C02">
        <w:rPr>
          <w:rFonts w:hint="eastAsia"/>
        </w:rPr>
        <w:t>过高等痛难点</w:t>
      </w:r>
      <w:proofErr w:type="gramEnd"/>
      <w:r w:rsidRPr="00787C02">
        <w:rPr>
          <w:rFonts w:hint="eastAsia"/>
        </w:rPr>
        <w:t>问题，兼顾绿色票据识别的准确性和高效性。</w:t>
      </w:r>
    </w:p>
    <w:p w14:paraId="15DE03E9" w14:textId="08459256" w:rsidR="00B54827" w:rsidRPr="00787C02" w:rsidRDefault="0092791C">
      <w:pPr>
        <w:ind w:firstLine="643"/>
      </w:pPr>
      <w:r w:rsidRPr="00787C02">
        <w:rPr>
          <w:rFonts w:hint="eastAsia"/>
          <w:b/>
        </w:rPr>
        <w:t>2</w:t>
      </w:r>
      <w:r w:rsidRPr="00787C02">
        <w:rPr>
          <w:b/>
        </w:rPr>
        <w:t xml:space="preserve">. </w:t>
      </w:r>
      <w:r w:rsidRPr="00787C02">
        <w:rPr>
          <w:rFonts w:hint="eastAsia"/>
          <w:b/>
        </w:rPr>
        <w:t>可操作。</w:t>
      </w:r>
      <w:r w:rsidRPr="00787C02">
        <w:rPr>
          <w:rFonts w:hint="eastAsia"/>
        </w:rPr>
        <w:t>基于票据市场规模化、电子化发展的实际需要，充分考虑金融机构业务场景和企业票据需求，制定可操作、好操作、易操作的绿色票据认定</w:t>
      </w:r>
      <w:r w:rsidRPr="00787C02">
        <w:t>指南</w:t>
      </w:r>
      <w:r w:rsidRPr="00787C02">
        <w:rPr>
          <w:rFonts w:hint="eastAsia"/>
        </w:rPr>
        <w:t>，有效支撑</w:t>
      </w:r>
      <w:r w:rsidRPr="00787C02">
        <w:t>标准的落地应用和普遍推广，创新赋能票据市场的规模化发展，进一步</w:t>
      </w:r>
      <w:r w:rsidRPr="00787C02">
        <w:rPr>
          <w:rFonts w:hint="eastAsia"/>
        </w:rPr>
        <w:t>扩大绿色金融的覆盖范围。</w:t>
      </w:r>
    </w:p>
    <w:p w14:paraId="0148AED5" w14:textId="2D29452D" w:rsidR="00B54827" w:rsidRPr="00787C02" w:rsidRDefault="0092791C">
      <w:pPr>
        <w:ind w:firstLine="643"/>
      </w:pPr>
      <w:r w:rsidRPr="00787C02">
        <w:rPr>
          <w:rFonts w:hint="eastAsia"/>
          <w:b/>
        </w:rPr>
        <w:t>3</w:t>
      </w:r>
      <w:r w:rsidRPr="00787C02">
        <w:rPr>
          <w:b/>
        </w:rPr>
        <w:t xml:space="preserve">. </w:t>
      </w:r>
      <w:r w:rsidRPr="00787C02">
        <w:rPr>
          <w:rFonts w:hint="eastAsia"/>
          <w:b/>
        </w:rPr>
        <w:t>可流转。</w:t>
      </w:r>
      <w:r w:rsidRPr="00787C02">
        <w:rPr>
          <w:rFonts w:hint="eastAsia"/>
        </w:rPr>
        <w:t>相较于其他金融产品，票据具有流转速度快、融资效率高的特性，近年来，随着票据市场基础设施的不断完善，票据市场进一步呈现出电子化、等分化的新趋势，绿色票据认定指南的制定不应影响票据本身方便快捷的流转特性及其在快速融资、便捷融资等方面的天然优势。</w:t>
      </w:r>
    </w:p>
    <w:p w14:paraId="5C67C2CC" w14:textId="41BB8C61" w:rsidR="00B54827" w:rsidRPr="00787C02" w:rsidRDefault="0092791C">
      <w:pPr>
        <w:ind w:firstLine="643"/>
      </w:pPr>
      <w:r w:rsidRPr="00787C02">
        <w:rPr>
          <w:rFonts w:hint="eastAsia"/>
          <w:b/>
        </w:rPr>
        <w:t>4</w:t>
      </w:r>
      <w:r w:rsidRPr="00787C02">
        <w:rPr>
          <w:b/>
        </w:rPr>
        <w:t xml:space="preserve">. </w:t>
      </w:r>
      <w:r w:rsidRPr="00787C02">
        <w:rPr>
          <w:rFonts w:hint="eastAsia"/>
          <w:b/>
        </w:rPr>
        <w:t>可推广。</w:t>
      </w:r>
      <w:r w:rsidRPr="00787C02">
        <w:rPr>
          <w:rFonts w:hint="eastAsia"/>
        </w:rPr>
        <w:t>绿色票据认定指南的制定和应用应有助于绿色产业的深化发展，考虑到绿色票据业务处于初步发展阶段，</w:t>
      </w:r>
      <w:r w:rsidRPr="00787C02">
        <w:rPr>
          <w:rFonts w:hint="eastAsia"/>
        </w:rPr>
        <w:lastRenderedPageBreak/>
        <w:t>标准本身应满足广泛应用、普遍适用的要求，真正弥补当前绿色信贷、绿色债券等绿色金融对中小</w:t>
      </w:r>
      <w:proofErr w:type="gramStart"/>
      <w:r w:rsidRPr="00787C02">
        <w:rPr>
          <w:rFonts w:hint="eastAsia"/>
        </w:rPr>
        <w:t>微企业</w:t>
      </w:r>
      <w:proofErr w:type="gramEnd"/>
      <w:r w:rsidRPr="00787C02">
        <w:rPr>
          <w:rFonts w:hint="eastAsia"/>
        </w:rPr>
        <w:t>支持不足的问题，推动绿色供应链的发展。</w:t>
      </w:r>
    </w:p>
    <w:p w14:paraId="13A8E667" w14:textId="77777777" w:rsidR="00B54827" w:rsidRPr="00787C02" w:rsidRDefault="0092791C">
      <w:pPr>
        <w:pStyle w:val="2"/>
        <w:ind w:firstLine="643"/>
      </w:pPr>
      <w:r w:rsidRPr="00787C02">
        <w:t>（三）编制思路</w:t>
      </w:r>
    </w:p>
    <w:p w14:paraId="519BB7A3" w14:textId="77777777" w:rsidR="00B54827" w:rsidRPr="00787C02" w:rsidRDefault="0092791C">
      <w:pPr>
        <w:pStyle w:val="3"/>
        <w:ind w:firstLine="643"/>
      </w:pPr>
      <w:r w:rsidRPr="00787C02">
        <w:rPr>
          <w:rFonts w:hint="eastAsia"/>
        </w:rPr>
        <w:t>1</w:t>
      </w:r>
      <w:r w:rsidRPr="00787C02">
        <w:t xml:space="preserve">. </w:t>
      </w:r>
      <w:r w:rsidRPr="00787C02">
        <w:t>创新建立包容、灵活的绿色票据分级标准</w:t>
      </w:r>
    </w:p>
    <w:p w14:paraId="5DE0C739" w14:textId="77777777" w:rsidR="00B54827" w:rsidRPr="00787C02" w:rsidRDefault="0092791C">
      <w:pPr>
        <w:ind w:firstLine="640"/>
      </w:pPr>
      <w:r w:rsidRPr="00787C02">
        <w:rPr>
          <w:rFonts w:hint="eastAsia"/>
        </w:rPr>
        <w:t>票据业务环节多样、贸易背景和参与主体复杂，且具有“短、频、快”的特点，对绿色票据认定标准的可行性、适用性提出很高要求。</w:t>
      </w:r>
      <w:r w:rsidRPr="00787C02">
        <w:t>实践经验表明，绿色票据的识别主要涉及出票、贴现两个业务环节以及交易主体、交易标的贸易背景两个</w:t>
      </w:r>
      <w:r w:rsidRPr="00787C02">
        <w:t>“</w:t>
      </w:r>
      <w:r w:rsidRPr="00787C02">
        <w:t>绿色</w:t>
      </w:r>
      <w:r w:rsidRPr="00787C02">
        <w:t>”</w:t>
      </w:r>
      <w:r w:rsidRPr="00787C02">
        <w:t>要素</w:t>
      </w:r>
      <w:r w:rsidRPr="00787C02">
        <w:rPr>
          <w:rFonts w:hint="eastAsia"/>
        </w:rPr>
        <w:t>。</w:t>
      </w:r>
    </w:p>
    <w:p w14:paraId="1347BBD6" w14:textId="08A2B2DA" w:rsidR="00B54827" w:rsidRPr="00787C02" w:rsidRDefault="0092791C">
      <w:pPr>
        <w:ind w:firstLine="640"/>
      </w:pPr>
      <w:r w:rsidRPr="00787C02">
        <w:t>因此，考虑到当前绿色票据业务处于发展初期，基于可操作、可推广的原则，本标准提出建立五个</w:t>
      </w:r>
      <w:r w:rsidRPr="00787C02">
        <w:rPr>
          <w:rFonts w:hint="eastAsia"/>
        </w:rPr>
        <w:t>绿色票据等级，首先对不同业务环节的不同交易要素进行“绿色”属性识别，然后基于不同环节和不同要素“绿色”属性的组合，形成多种绿色票据认定情景，以满足不同利益相关方和监管部门对发展和监管绿色票据业务的需求。五级绿色票据分别为：</w:t>
      </w:r>
    </w:p>
    <w:p w14:paraId="41FDCA52" w14:textId="2054C8D7" w:rsidR="00B54827" w:rsidRPr="00787C02" w:rsidRDefault="0092791C">
      <w:pPr>
        <w:pStyle w:val="a9"/>
        <w:numPr>
          <w:ilvl w:val="0"/>
          <w:numId w:val="1"/>
        </w:numPr>
        <w:ind w:firstLineChars="0"/>
      </w:pPr>
      <w:r w:rsidRPr="00787C02">
        <w:t>“G1</w:t>
      </w:r>
      <w:r w:rsidRPr="00787C02">
        <w:t>级绿色票据</w:t>
      </w:r>
      <w:r w:rsidRPr="00787C02">
        <w:t>”</w:t>
      </w:r>
      <w:r w:rsidRPr="00787C02">
        <w:rPr>
          <w:rFonts w:hint="eastAsia"/>
        </w:rPr>
        <w:t>。</w:t>
      </w:r>
      <w:r w:rsidRPr="00787C02">
        <w:t>满足出票或</w:t>
      </w:r>
      <w:r w:rsidRPr="00787C02">
        <w:rPr>
          <w:rFonts w:hint="eastAsia"/>
        </w:rPr>
        <w:t>贴现</w:t>
      </w:r>
      <w:r w:rsidRPr="00787C02">
        <w:t>“</w:t>
      </w:r>
      <w:r w:rsidRPr="00787C02">
        <w:rPr>
          <w:rFonts w:hint="eastAsia"/>
        </w:rPr>
        <w:t>单</w:t>
      </w:r>
      <w:r w:rsidRPr="00787C02">
        <w:t>环节</w:t>
      </w:r>
      <w:r w:rsidRPr="00787C02">
        <w:t>”</w:t>
      </w:r>
      <w:r w:rsidRPr="00787C02">
        <w:t>、主体或贸易背景</w:t>
      </w:r>
      <w:r w:rsidRPr="00787C02">
        <w:t>“</w:t>
      </w:r>
      <w:r w:rsidRPr="00787C02">
        <w:t>单要素</w:t>
      </w:r>
      <w:r w:rsidRPr="00787C02">
        <w:t>”</w:t>
      </w:r>
      <w:r w:rsidRPr="00787C02">
        <w:t>的绿色属性要求，形成</w:t>
      </w:r>
      <w:r w:rsidRPr="00787C02">
        <w:rPr>
          <w:rFonts w:hint="eastAsia"/>
        </w:rPr>
        <w:t>4</w:t>
      </w:r>
      <w:r w:rsidRPr="00787C02">
        <w:rPr>
          <w:rFonts w:hint="eastAsia"/>
        </w:rPr>
        <w:t>种绿色票据</w:t>
      </w:r>
      <w:r w:rsidRPr="00787C02">
        <w:t>情景</w:t>
      </w:r>
      <w:r w:rsidRPr="00787C02">
        <w:rPr>
          <w:rFonts w:hint="eastAsia"/>
        </w:rPr>
        <w:t>。</w:t>
      </w:r>
      <w:r w:rsidRPr="00787C02">
        <w:t>其绿色程度最浅、但适用性最广，最有利于绿色票据业务的推广应用；</w:t>
      </w:r>
    </w:p>
    <w:p w14:paraId="404793DD" w14:textId="72331592" w:rsidR="00B54827" w:rsidRPr="00787C02" w:rsidRDefault="0092791C">
      <w:pPr>
        <w:pStyle w:val="a9"/>
        <w:numPr>
          <w:ilvl w:val="0"/>
          <w:numId w:val="1"/>
        </w:numPr>
        <w:ind w:firstLineChars="0"/>
      </w:pPr>
      <w:r w:rsidRPr="00787C02">
        <w:t>“G2</w:t>
      </w:r>
      <w:r w:rsidRPr="00787C02">
        <w:t>级绿色票据</w:t>
      </w:r>
      <w:r w:rsidRPr="00787C02">
        <w:t>”</w:t>
      </w:r>
      <w:r w:rsidRPr="00787C02">
        <w:rPr>
          <w:rFonts w:hint="eastAsia"/>
        </w:rPr>
        <w:t>。</w:t>
      </w:r>
      <w:r w:rsidRPr="00787C02">
        <w:t>满足出票和</w:t>
      </w:r>
      <w:r w:rsidRPr="00787C02">
        <w:rPr>
          <w:rFonts w:hint="eastAsia"/>
        </w:rPr>
        <w:t>贴现</w:t>
      </w:r>
      <w:r w:rsidRPr="00787C02">
        <w:t>“</w:t>
      </w:r>
      <w:r w:rsidRPr="00787C02">
        <w:t>双环节</w:t>
      </w:r>
      <w:r w:rsidRPr="00787C02">
        <w:t>”</w:t>
      </w:r>
      <w:r w:rsidRPr="00787C02">
        <w:t>、主体或</w:t>
      </w:r>
      <w:r w:rsidRPr="00787C02">
        <w:lastRenderedPageBreak/>
        <w:t>贸易背景</w:t>
      </w:r>
      <w:r w:rsidRPr="00787C02">
        <w:t>“</w:t>
      </w:r>
      <w:r w:rsidRPr="00787C02">
        <w:t>单要素</w:t>
      </w:r>
      <w:r w:rsidRPr="00787C02">
        <w:t>”</w:t>
      </w:r>
      <w:r w:rsidRPr="00787C02">
        <w:t>的绿色属性要求，形成</w:t>
      </w:r>
      <w:r w:rsidRPr="00787C02">
        <w:rPr>
          <w:rFonts w:hint="eastAsia"/>
        </w:rPr>
        <w:t>4</w:t>
      </w:r>
      <w:r w:rsidRPr="00787C02">
        <w:rPr>
          <w:rFonts w:hint="eastAsia"/>
        </w:rPr>
        <w:t>种绿色票据</w:t>
      </w:r>
      <w:r w:rsidRPr="00787C02">
        <w:t>情景</w:t>
      </w:r>
      <w:r w:rsidRPr="00787C02">
        <w:rPr>
          <w:rFonts w:hint="eastAsia"/>
        </w:rPr>
        <w:t>。</w:t>
      </w:r>
      <w:r w:rsidRPr="00787C02">
        <w:t>其绿色程度次浅，能够确保票据业务的前端和后端均具备</w:t>
      </w:r>
      <w:r w:rsidRPr="00787C02">
        <w:t>“</w:t>
      </w:r>
      <w:r w:rsidRPr="00787C02">
        <w:t>绿色</w:t>
      </w:r>
      <w:r w:rsidRPr="00787C02">
        <w:t>”</w:t>
      </w:r>
      <w:r w:rsidRPr="00787C02">
        <w:t>属性；</w:t>
      </w:r>
    </w:p>
    <w:p w14:paraId="15006A97" w14:textId="076FF208" w:rsidR="00B54827" w:rsidRPr="00787C02" w:rsidRDefault="0092791C">
      <w:pPr>
        <w:pStyle w:val="a9"/>
        <w:numPr>
          <w:ilvl w:val="0"/>
          <w:numId w:val="1"/>
        </w:numPr>
        <w:ind w:firstLineChars="0"/>
      </w:pPr>
      <w:r w:rsidRPr="00787C02">
        <w:t>“G3</w:t>
      </w:r>
      <w:r w:rsidRPr="00787C02">
        <w:t>级绿色票据</w:t>
      </w:r>
      <w:r w:rsidRPr="00787C02">
        <w:t>”</w:t>
      </w:r>
      <w:r w:rsidRPr="00787C02">
        <w:rPr>
          <w:rFonts w:hint="eastAsia"/>
        </w:rPr>
        <w:t>。</w:t>
      </w:r>
      <w:r w:rsidRPr="00787C02">
        <w:t>满足出票或</w:t>
      </w:r>
      <w:r w:rsidRPr="00787C02">
        <w:rPr>
          <w:rFonts w:hint="eastAsia"/>
        </w:rPr>
        <w:t>贴现</w:t>
      </w:r>
      <w:r w:rsidRPr="00787C02">
        <w:t>“</w:t>
      </w:r>
      <w:r w:rsidRPr="00787C02">
        <w:t>单环节</w:t>
      </w:r>
      <w:r w:rsidRPr="00787C02">
        <w:t>”</w:t>
      </w:r>
      <w:r w:rsidRPr="00787C02">
        <w:t>、主体和贸易背景</w:t>
      </w:r>
      <w:r w:rsidRPr="00787C02">
        <w:t>“</w:t>
      </w:r>
      <w:r w:rsidRPr="00787C02">
        <w:t>双要素</w:t>
      </w:r>
      <w:r w:rsidRPr="00787C02">
        <w:t>”</w:t>
      </w:r>
      <w:r w:rsidRPr="00787C02">
        <w:t>的绿色属性要求，涵盖</w:t>
      </w:r>
      <w:r w:rsidRPr="00787C02">
        <w:t>2</w:t>
      </w:r>
      <w:r w:rsidRPr="00787C02">
        <w:rPr>
          <w:rFonts w:hint="eastAsia"/>
        </w:rPr>
        <w:t>种绿色票据</w:t>
      </w:r>
      <w:r w:rsidRPr="00787C02">
        <w:t>情景</w:t>
      </w:r>
      <w:r w:rsidRPr="00787C02">
        <w:rPr>
          <w:rFonts w:hint="eastAsia"/>
        </w:rPr>
        <w:t>。其绿色程度中等，既兼顾了绿色票据的适用性，又兼顾了绿色票据识别的严格性</w:t>
      </w:r>
      <w:r w:rsidRPr="00787C02">
        <w:t>；</w:t>
      </w:r>
    </w:p>
    <w:p w14:paraId="4C05EC82" w14:textId="06EA941E" w:rsidR="00B54827" w:rsidRPr="00787C02" w:rsidRDefault="0092791C">
      <w:pPr>
        <w:pStyle w:val="a9"/>
        <w:numPr>
          <w:ilvl w:val="0"/>
          <w:numId w:val="1"/>
        </w:numPr>
        <w:ind w:firstLineChars="0"/>
      </w:pPr>
      <w:r w:rsidRPr="00787C02">
        <w:t>“G4</w:t>
      </w:r>
      <w:r w:rsidRPr="00787C02">
        <w:t>级绿色票据</w:t>
      </w:r>
      <w:r w:rsidRPr="00787C02">
        <w:t>”</w:t>
      </w:r>
      <w:r w:rsidRPr="00787C02">
        <w:rPr>
          <w:rFonts w:hint="eastAsia"/>
        </w:rPr>
        <w:t>。</w:t>
      </w:r>
      <w:r w:rsidRPr="00787C02">
        <w:t>满足出票和</w:t>
      </w:r>
      <w:r w:rsidRPr="00787C02">
        <w:rPr>
          <w:rFonts w:hint="eastAsia"/>
        </w:rPr>
        <w:t>贴现</w:t>
      </w:r>
      <w:r w:rsidRPr="00787C02">
        <w:t>“</w:t>
      </w:r>
      <w:r w:rsidRPr="00787C02">
        <w:t>双环节</w:t>
      </w:r>
      <w:r w:rsidRPr="00787C02">
        <w:t>”</w:t>
      </w:r>
      <w:r w:rsidRPr="00787C02">
        <w:t>、主体和贸易背景</w:t>
      </w:r>
      <w:r w:rsidRPr="00787C02">
        <w:t>“</w:t>
      </w:r>
      <w:r w:rsidRPr="00787C02">
        <w:t>双要素</w:t>
      </w:r>
      <w:r w:rsidRPr="00787C02">
        <w:t>”</w:t>
      </w:r>
      <w:r w:rsidRPr="00787C02">
        <w:t>的绿色属性要求，涵盖</w:t>
      </w:r>
      <w:r w:rsidRPr="00787C02">
        <w:t>1</w:t>
      </w:r>
      <w:r w:rsidRPr="00787C02">
        <w:rPr>
          <w:rFonts w:hint="eastAsia"/>
        </w:rPr>
        <w:t>种绿色票据</w:t>
      </w:r>
      <w:r w:rsidRPr="00787C02">
        <w:t>情景</w:t>
      </w:r>
      <w:r w:rsidRPr="00787C02">
        <w:rPr>
          <w:rFonts w:hint="eastAsia"/>
        </w:rPr>
        <w:t>。</w:t>
      </w:r>
      <w:r w:rsidRPr="00787C02">
        <w:t>其绿色程度</w:t>
      </w:r>
      <w:r w:rsidRPr="00787C02">
        <w:rPr>
          <w:rFonts w:hint="eastAsia"/>
        </w:rPr>
        <w:t>较</w:t>
      </w:r>
      <w:r w:rsidRPr="00787C02">
        <w:t>深，能够有效识别和支持绿色企业的绿色贸易活动</w:t>
      </w:r>
      <w:r w:rsidRPr="00787C02">
        <w:rPr>
          <w:rFonts w:hint="eastAsia"/>
        </w:rPr>
        <w:t>，但实践中符合此类要求的绿色票据数量较少，市场应用前景较弱</w:t>
      </w:r>
      <w:r w:rsidRPr="00787C02">
        <w:t>；</w:t>
      </w:r>
    </w:p>
    <w:p w14:paraId="1A4F2646" w14:textId="26878961" w:rsidR="00B54827" w:rsidRPr="00787C02" w:rsidRDefault="0092791C">
      <w:pPr>
        <w:pStyle w:val="a9"/>
        <w:numPr>
          <w:ilvl w:val="0"/>
          <w:numId w:val="1"/>
        </w:numPr>
        <w:ind w:firstLineChars="0"/>
      </w:pPr>
      <w:r w:rsidRPr="00787C02">
        <w:t>“G5</w:t>
      </w:r>
      <w:r w:rsidRPr="00787C02">
        <w:t>级绿色票据</w:t>
      </w:r>
      <w:r w:rsidRPr="00787C02">
        <w:t>”</w:t>
      </w:r>
      <w:r w:rsidRPr="00787C02">
        <w:rPr>
          <w:rFonts w:hint="eastAsia"/>
        </w:rPr>
        <w:t>。</w:t>
      </w:r>
      <w:r w:rsidRPr="00787C02">
        <w:t>满足出票、转让和</w:t>
      </w:r>
      <w:r w:rsidRPr="00787C02">
        <w:rPr>
          <w:rFonts w:hint="eastAsia"/>
        </w:rPr>
        <w:t>贴现</w:t>
      </w:r>
      <w:r w:rsidRPr="00787C02">
        <w:t>“</w:t>
      </w:r>
      <w:r w:rsidRPr="00787C02">
        <w:t>多环节、双要素</w:t>
      </w:r>
      <w:r w:rsidRPr="00787C02">
        <w:t>”</w:t>
      </w:r>
      <w:r w:rsidRPr="00787C02">
        <w:t>的绿色属性要求，涵盖</w:t>
      </w:r>
      <w:r w:rsidRPr="00787C02">
        <w:rPr>
          <w:rFonts w:hint="eastAsia"/>
        </w:rPr>
        <w:t>1</w:t>
      </w:r>
      <w:r w:rsidRPr="00787C02">
        <w:rPr>
          <w:rFonts w:hint="eastAsia"/>
        </w:rPr>
        <w:t>种绿色票据</w:t>
      </w:r>
      <w:r w:rsidRPr="00787C02">
        <w:t>情景</w:t>
      </w:r>
      <w:r w:rsidRPr="00787C02">
        <w:rPr>
          <w:rFonts w:hint="eastAsia"/>
        </w:rPr>
        <w:t>。</w:t>
      </w:r>
      <w:r w:rsidRPr="00787C02">
        <w:t>其绿色程度最深，从全生命周期的角度对绿色票据进行识别认定，但</w:t>
      </w:r>
      <w:r w:rsidRPr="00787C02">
        <w:rPr>
          <w:rFonts w:hint="eastAsia"/>
        </w:rPr>
        <w:t>实践中符合此类要求的绿色票据数量最少，市场应用前景最弱</w:t>
      </w:r>
      <w:r w:rsidRPr="00787C02">
        <w:t>。</w:t>
      </w:r>
    </w:p>
    <w:p w14:paraId="697C063F" w14:textId="77777777" w:rsidR="00B54827" w:rsidRPr="00787C02" w:rsidRDefault="0092791C">
      <w:pPr>
        <w:pStyle w:val="3"/>
        <w:ind w:firstLine="643"/>
      </w:pPr>
      <w:r w:rsidRPr="00787C02">
        <w:rPr>
          <w:rFonts w:hint="eastAsia"/>
        </w:rPr>
        <w:t>2</w:t>
      </w:r>
      <w:r w:rsidRPr="00787C02">
        <w:t xml:space="preserve">. </w:t>
      </w:r>
      <w:r w:rsidRPr="00787C02">
        <w:t>创新建立基于绿色经营活动的绿色主体认定标准</w:t>
      </w:r>
    </w:p>
    <w:p w14:paraId="56088F47" w14:textId="0E11DFC9" w:rsidR="00B54827" w:rsidRPr="00787C02" w:rsidRDefault="0092791C">
      <w:pPr>
        <w:ind w:firstLine="640"/>
      </w:pPr>
      <w:r w:rsidRPr="00787C02">
        <w:rPr>
          <w:rFonts w:hint="eastAsia"/>
        </w:rPr>
        <w:t>从绿色信贷的绿色认定实践来看，目前对于绿色主体的认定方式主要要求符合两个条件：一是企业有绿色经营活动，二是企业绿色经营活动产生的绿色收入要占主营业务收入</w:t>
      </w:r>
      <w:r w:rsidRPr="00787C02">
        <w:rPr>
          <w:rFonts w:hint="eastAsia"/>
        </w:rPr>
        <w:lastRenderedPageBreak/>
        <w:t>的一定比例以上，通常要求是</w:t>
      </w:r>
      <w:r w:rsidRPr="00787C02">
        <w:rPr>
          <w:rFonts w:hint="eastAsia"/>
        </w:rPr>
        <w:t>50%</w:t>
      </w:r>
      <w:r w:rsidRPr="00787C02">
        <w:rPr>
          <w:rFonts w:hint="eastAsia"/>
        </w:rPr>
        <w:t>以上。但这种认定方式所需材料多、量化计算复杂、认定流程长，难以适应票据业务“期限短、流转频繁、融资快”的特点，不利于绿色票据的推广应用和规模化发展。</w:t>
      </w:r>
    </w:p>
    <w:p w14:paraId="216D8251" w14:textId="5EC2E2E8" w:rsidR="00B54827" w:rsidRPr="00787C02" w:rsidRDefault="0092791C">
      <w:pPr>
        <w:ind w:firstLine="640"/>
      </w:pPr>
      <w:r w:rsidRPr="00787C02">
        <w:rPr>
          <w:rFonts w:hint="eastAsia"/>
        </w:rPr>
        <w:t>基于此，本标准创新性地提出基于绿色经营活动的绿色主体认定规则，主要</w:t>
      </w:r>
      <w:proofErr w:type="gramStart"/>
      <w:r w:rsidRPr="00787C02">
        <w:rPr>
          <w:rFonts w:hint="eastAsia"/>
        </w:rPr>
        <w:t>考量</w:t>
      </w:r>
      <w:proofErr w:type="gramEnd"/>
      <w:r w:rsidRPr="00787C02">
        <w:rPr>
          <w:rFonts w:hint="eastAsia"/>
        </w:rPr>
        <w:t>市场主体的经营活动与现行《绿色产业指导目录（</w:t>
      </w:r>
      <w:r w:rsidRPr="00787C02">
        <w:rPr>
          <w:rFonts w:hint="eastAsia"/>
        </w:rPr>
        <w:t>2019</w:t>
      </w:r>
      <w:r w:rsidRPr="00787C02">
        <w:rPr>
          <w:rFonts w:hint="eastAsia"/>
        </w:rPr>
        <w:t>年版）》（</w:t>
      </w:r>
      <w:proofErr w:type="gramStart"/>
      <w:r w:rsidRPr="00787C02">
        <w:rPr>
          <w:rFonts w:hint="eastAsia"/>
        </w:rPr>
        <w:t>发改环</w:t>
      </w:r>
      <w:proofErr w:type="gramEnd"/>
      <w:r w:rsidRPr="00787C02">
        <w:rPr>
          <w:rFonts w:hint="eastAsia"/>
        </w:rPr>
        <w:t>资〔</w:t>
      </w:r>
      <w:r w:rsidRPr="00787C02">
        <w:rPr>
          <w:rFonts w:hint="eastAsia"/>
        </w:rPr>
        <w:t>2019</w:t>
      </w:r>
      <w:r w:rsidRPr="00787C02">
        <w:rPr>
          <w:rFonts w:hint="eastAsia"/>
        </w:rPr>
        <w:t>〕</w:t>
      </w:r>
      <w:r w:rsidRPr="00787C02">
        <w:rPr>
          <w:rFonts w:hint="eastAsia"/>
        </w:rPr>
        <w:t>293</w:t>
      </w:r>
      <w:r w:rsidRPr="00787C02">
        <w:rPr>
          <w:rFonts w:hint="eastAsia"/>
        </w:rPr>
        <w:t>号）、《绿色债券支持项目目录（</w:t>
      </w:r>
      <w:r w:rsidRPr="00787C02">
        <w:rPr>
          <w:rFonts w:hint="eastAsia"/>
        </w:rPr>
        <w:t>2021</w:t>
      </w:r>
      <w:r w:rsidRPr="00787C02">
        <w:rPr>
          <w:rFonts w:hint="eastAsia"/>
        </w:rPr>
        <w:t>年版）》（银发〔</w:t>
      </w:r>
      <w:r w:rsidRPr="00787C02">
        <w:rPr>
          <w:rFonts w:hint="eastAsia"/>
        </w:rPr>
        <w:t>2021</w:t>
      </w:r>
      <w:r w:rsidRPr="00787C02">
        <w:rPr>
          <w:rFonts w:hint="eastAsia"/>
        </w:rPr>
        <w:t>〕</w:t>
      </w:r>
      <w:r w:rsidRPr="00787C02">
        <w:rPr>
          <w:rFonts w:hint="eastAsia"/>
        </w:rPr>
        <w:t>96</w:t>
      </w:r>
      <w:r w:rsidRPr="00787C02">
        <w:rPr>
          <w:rFonts w:hint="eastAsia"/>
        </w:rPr>
        <w:t>号）等国家绿色标准的符合程度，在充分遵循、衔接现有绿色金融标准有关要求的同时，满足绿色票据业务智能化、线上化的需求，有效提高绿色票据识别和认定的工作效率，提升绿色票据认定标准的可操作性和适用性。</w:t>
      </w:r>
    </w:p>
    <w:p w14:paraId="012D2A02" w14:textId="77777777" w:rsidR="00B54827" w:rsidRPr="00787C02" w:rsidRDefault="0092791C">
      <w:pPr>
        <w:pStyle w:val="3"/>
        <w:ind w:firstLine="643"/>
      </w:pPr>
      <w:r w:rsidRPr="00787C02">
        <w:rPr>
          <w:rFonts w:hint="eastAsia"/>
        </w:rPr>
        <w:t>3</w:t>
      </w:r>
      <w:r w:rsidRPr="00787C02">
        <w:t xml:space="preserve">. </w:t>
      </w:r>
      <w:r w:rsidRPr="00787C02">
        <w:t>支持引入绿色票据识别认定第三方机构与</w:t>
      </w:r>
      <w:r w:rsidRPr="00787C02">
        <w:rPr>
          <w:rFonts w:hint="eastAsia"/>
        </w:rPr>
        <w:t>智能化</w:t>
      </w:r>
      <w:r w:rsidRPr="00787C02">
        <w:t>系统</w:t>
      </w:r>
    </w:p>
    <w:p w14:paraId="3CB13444" w14:textId="77777777" w:rsidR="00B54827" w:rsidRPr="00787C02" w:rsidRDefault="0092791C">
      <w:pPr>
        <w:ind w:firstLine="640"/>
      </w:pPr>
      <w:r w:rsidRPr="00787C02">
        <w:t>实践经验表明，绿色票据缺乏明确的政策指引，认定</w:t>
      </w:r>
      <w:r w:rsidRPr="00787C02">
        <w:rPr>
          <w:rFonts w:hint="eastAsia"/>
        </w:rPr>
        <w:t>专业性强、</w:t>
      </w:r>
      <w:r w:rsidRPr="00787C02">
        <w:t>难度大，导致商业银行推动绿色票据业务的积极性不高，难以发挥人民银行再贴现等</w:t>
      </w:r>
      <w:r w:rsidRPr="00787C02">
        <w:rPr>
          <w:rFonts w:hint="eastAsia"/>
        </w:rPr>
        <w:t>货币政策工具的精准滴灌作用。</w:t>
      </w:r>
    </w:p>
    <w:p w14:paraId="752EEE9E" w14:textId="77777777" w:rsidR="00B54827" w:rsidRPr="00787C02" w:rsidRDefault="0092791C">
      <w:pPr>
        <w:ind w:firstLine="640"/>
      </w:pPr>
      <w:r w:rsidRPr="00787C02">
        <w:rPr>
          <w:rFonts w:hint="eastAsia"/>
        </w:rPr>
        <w:t>因此，本标准充分考虑绿色票据的实际发展需要，在充分调研、吸取金融机构绿色票据业务开展经验的基础上，支持引入绿色票据识别认定第三方机构，一方面，充分依托专</w:t>
      </w:r>
      <w:r w:rsidRPr="00787C02">
        <w:rPr>
          <w:rFonts w:hint="eastAsia"/>
        </w:rPr>
        <w:lastRenderedPageBreak/>
        <w:t>业机构对于“绿色”领域的识别能力，提高绿色票据识别认定的一致性和准确性，另一方面，支持引入第三方绿色票据智能识别系统，推动实现绿色票据认定完全公开化、智能化和线上化，提高绿色票据识别认定的便捷程度和效率，以科技赋能实体经济绿色低碳转型。</w:t>
      </w:r>
    </w:p>
    <w:p w14:paraId="24850781" w14:textId="77777777" w:rsidR="00B54827" w:rsidRPr="00787C02" w:rsidRDefault="0092791C" w:rsidP="00787C02">
      <w:pPr>
        <w:pStyle w:val="1"/>
        <w:ind w:firstLineChars="0" w:firstLine="0"/>
      </w:pPr>
      <w:r w:rsidRPr="00787C02">
        <w:t>三、标准制定依据</w:t>
      </w:r>
    </w:p>
    <w:p w14:paraId="1E7DAD1E" w14:textId="77777777" w:rsidR="00B54827" w:rsidRPr="00787C02" w:rsidRDefault="0092791C">
      <w:pPr>
        <w:pStyle w:val="2"/>
        <w:ind w:firstLine="643"/>
      </w:pPr>
      <w:r w:rsidRPr="00787C02">
        <w:t>（一）绿色票据定义</w:t>
      </w:r>
    </w:p>
    <w:p w14:paraId="566715CA" w14:textId="77777777" w:rsidR="00B54827" w:rsidRPr="00787C02" w:rsidRDefault="0092791C">
      <w:pPr>
        <w:ind w:firstLine="640"/>
      </w:pPr>
      <w:r w:rsidRPr="00787C02">
        <w:rPr>
          <w:rFonts w:hint="eastAsia"/>
        </w:rPr>
        <w:t>当前，国内外尚没有针对“绿色票据”的定义。从国家顶层设计来看，中国人民银行、财政部等七部委于</w:t>
      </w:r>
      <w:r w:rsidRPr="00787C02">
        <w:rPr>
          <w:rFonts w:hint="eastAsia"/>
        </w:rPr>
        <w:t>2016</w:t>
      </w:r>
      <w:r w:rsidRPr="00787C02">
        <w:rPr>
          <w:rFonts w:hint="eastAsia"/>
        </w:rPr>
        <w:t>年</w:t>
      </w:r>
      <w:r w:rsidRPr="00787C02">
        <w:rPr>
          <w:rFonts w:hint="eastAsia"/>
        </w:rPr>
        <w:t>8</w:t>
      </w:r>
      <w:r w:rsidRPr="00787C02">
        <w:rPr>
          <w:rFonts w:hint="eastAsia"/>
        </w:rPr>
        <w:t>月联合发布的《关于构建绿色金融体系的指导意见》对绿色金融进行了明确定义。因此，本标准参照顶层设计文件中对于绿色金融的定义，在遵循《中华人民共和国票据法》的基础上，提出绿色票据的定义，是指票据当事人在支持环境改善、应对气候变化和资源节约高效利用等经济活动中签发、取得、转让的商业汇票，分为绿色银行汇票和绿色商业汇票。</w:t>
      </w:r>
    </w:p>
    <w:p w14:paraId="4BBBC192" w14:textId="77777777" w:rsidR="00B54827" w:rsidRPr="00787C02" w:rsidRDefault="0092791C">
      <w:pPr>
        <w:pStyle w:val="2"/>
        <w:ind w:firstLine="643"/>
      </w:pPr>
      <w:r w:rsidRPr="00787C02">
        <w:t>（二）绿色票据认定条件</w:t>
      </w:r>
    </w:p>
    <w:p w14:paraId="7CFDDA0C" w14:textId="77777777" w:rsidR="00B54827" w:rsidRPr="00787C02" w:rsidRDefault="0092791C">
      <w:pPr>
        <w:pStyle w:val="3"/>
        <w:ind w:firstLine="643"/>
      </w:pPr>
      <w:r w:rsidRPr="00787C02">
        <w:rPr>
          <w:rFonts w:hint="eastAsia"/>
        </w:rPr>
        <w:t>1</w:t>
      </w:r>
      <w:r w:rsidRPr="00787C02">
        <w:t xml:space="preserve">. </w:t>
      </w:r>
      <w:r w:rsidRPr="00787C02">
        <w:t>认定要素</w:t>
      </w:r>
    </w:p>
    <w:p w14:paraId="31A300A9" w14:textId="1B98652F" w:rsidR="00B54827" w:rsidRPr="00787C02" w:rsidRDefault="0092791C">
      <w:pPr>
        <w:ind w:firstLine="640"/>
      </w:pPr>
      <w:r w:rsidRPr="00787C02">
        <w:rPr>
          <w:rFonts w:hint="eastAsia"/>
        </w:rPr>
        <w:t>从业务环节上看，在票据签发出票环节，银行作为出票人或结算行，可对企业开票资格及交易背景进行审查；在票据贴现环节，贴现行可对贴现人及其与前手的交易背景进行</w:t>
      </w:r>
      <w:r w:rsidRPr="00787C02">
        <w:rPr>
          <w:rFonts w:hint="eastAsia"/>
        </w:rPr>
        <w:lastRenderedPageBreak/>
        <w:t>审查。因此，制定出票、贴现环节的绿色票据识别认定标准具备可操作性。此外，基于</w:t>
      </w:r>
      <w:r w:rsidRPr="00787C02">
        <w:t>票据的全生命周期</w:t>
      </w:r>
      <w:r w:rsidRPr="00787C02">
        <w:rPr>
          <w:rFonts w:hint="eastAsia"/>
        </w:rPr>
        <w:t>管理原则，本标准进一步考虑背书环节的绿色属性认定。</w:t>
      </w:r>
    </w:p>
    <w:p w14:paraId="71E530BE" w14:textId="77777777" w:rsidR="00B54827" w:rsidRPr="00787C02" w:rsidRDefault="0092791C">
      <w:pPr>
        <w:ind w:firstLine="640"/>
      </w:pPr>
      <w:r w:rsidRPr="00787C02">
        <w:t>从交易要素上看，票据业务</w:t>
      </w:r>
      <w:r w:rsidRPr="00787C02">
        <w:rPr>
          <w:rFonts w:hint="eastAsia"/>
        </w:rPr>
        <w:t>对于中小</w:t>
      </w:r>
      <w:proofErr w:type="gramStart"/>
      <w:r w:rsidRPr="00787C02">
        <w:rPr>
          <w:rFonts w:hint="eastAsia"/>
        </w:rPr>
        <w:t>微企业</w:t>
      </w:r>
      <w:proofErr w:type="gramEnd"/>
      <w:r w:rsidRPr="00787C02">
        <w:rPr>
          <w:rFonts w:hint="eastAsia"/>
        </w:rPr>
        <w:t>的支持作用最为显著，</w:t>
      </w:r>
      <w:r w:rsidRPr="00787C02">
        <w:t>从主体角度制定绿色标准，能够准确识别绿色中小</w:t>
      </w:r>
      <w:r w:rsidRPr="00787C02">
        <w:rPr>
          <w:rFonts w:hint="eastAsia"/>
        </w:rPr>
        <w:t>微</w:t>
      </w:r>
      <w:r w:rsidRPr="00787C02">
        <w:t>企业，</w:t>
      </w:r>
      <w:r w:rsidRPr="00787C02">
        <w:rPr>
          <w:rFonts w:hint="eastAsia"/>
        </w:rPr>
        <w:t>实现货币政策支持精准“滴灌”，有效解决现阶段绿色金融体系对中小</w:t>
      </w:r>
      <w:proofErr w:type="gramStart"/>
      <w:r w:rsidRPr="00787C02">
        <w:rPr>
          <w:rFonts w:hint="eastAsia"/>
        </w:rPr>
        <w:t>微企业</w:t>
      </w:r>
      <w:proofErr w:type="gramEnd"/>
      <w:r w:rsidRPr="00787C02">
        <w:rPr>
          <w:rFonts w:hint="eastAsia"/>
        </w:rPr>
        <w:t>支持力度、广度不足的问题。同时，票据基于真实贸易背景形成，从贸易背景识别票据的绿色属性，能够提升绿色项目</w:t>
      </w:r>
      <w:r w:rsidRPr="00787C02">
        <w:t>、</w:t>
      </w:r>
      <w:r w:rsidRPr="00787C02">
        <w:rPr>
          <w:rFonts w:hint="eastAsia"/>
        </w:rPr>
        <w:t>产品、服务的支付效率，切实引导资金流向绿色产业。</w:t>
      </w:r>
    </w:p>
    <w:p w14:paraId="008BE3FC" w14:textId="77777777" w:rsidR="00B54827" w:rsidRPr="00787C02" w:rsidRDefault="0092791C">
      <w:pPr>
        <w:pStyle w:val="3"/>
        <w:ind w:firstLine="643"/>
      </w:pPr>
      <w:r w:rsidRPr="00787C02">
        <w:rPr>
          <w:rFonts w:hint="eastAsia"/>
        </w:rPr>
        <w:t>2</w:t>
      </w:r>
      <w:r w:rsidRPr="00787C02">
        <w:t xml:space="preserve">. </w:t>
      </w:r>
      <w:r w:rsidRPr="00787C02">
        <w:t>绿色标准</w:t>
      </w:r>
    </w:p>
    <w:p w14:paraId="11B5F0DF" w14:textId="406E746C" w:rsidR="00B54827" w:rsidRPr="00787C02" w:rsidRDefault="0092791C">
      <w:pPr>
        <w:ind w:firstLine="640"/>
      </w:pPr>
      <w:r w:rsidRPr="00787C02">
        <w:rPr>
          <w:rFonts w:hint="eastAsia"/>
        </w:rPr>
        <w:t>票据交易标的包括产品、项目、服务等层级，绿色票据认定指南的制定需要充分结合现行绿色金融、绿色项目</w:t>
      </w:r>
      <w:r w:rsidRPr="00787C02">
        <w:rPr>
          <w:rFonts w:hint="eastAsia"/>
        </w:rPr>
        <w:t>/</w:t>
      </w:r>
      <w:r w:rsidRPr="00787C02">
        <w:rPr>
          <w:rFonts w:hint="eastAsia"/>
        </w:rPr>
        <w:t>产品等层面的标准内容。</w:t>
      </w:r>
    </w:p>
    <w:p w14:paraId="0BE668F1" w14:textId="77777777" w:rsidR="00B54827" w:rsidRPr="00787C02" w:rsidRDefault="0092791C">
      <w:pPr>
        <w:ind w:firstLine="640"/>
      </w:pPr>
      <w:r w:rsidRPr="00787C02">
        <w:rPr>
          <w:rFonts w:hint="eastAsia"/>
        </w:rPr>
        <w:t>在总体要求方面，《中国人民银行关于上海票交所再贴现模块上线有关事项的通知》（银发﹝</w:t>
      </w:r>
      <w:r w:rsidRPr="00787C02">
        <w:rPr>
          <w:rFonts w:hint="eastAsia"/>
        </w:rPr>
        <w:t>2017</w:t>
      </w:r>
      <w:r w:rsidRPr="00787C02">
        <w:rPr>
          <w:rFonts w:hint="eastAsia"/>
        </w:rPr>
        <w:t>﹞</w:t>
      </w:r>
      <w:r w:rsidRPr="00787C02">
        <w:rPr>
          <w:rFonts w:hint="eastAsia"/>
        </w:rPr>
        <w:t>216</w:t>
      </w:r>
      <w:r w:rsidRPr="00787C02">
        <w:rPr>
          <w:rFonts w:hint="eastAsia"/>
        </w:rPr>
        <w:t>号）要求“绿色票据标准比照中国金融学会绿色金融专业委员会编制的《绿色债券支持项目目录（</w:t>
      </w:r>
      <w:r w:rsidRPr="00787C02">
        <w:rPr>
          <w:rFonts w:hint="eastAsia"/>
        </w:rPr>
        <w:t>2015</w:t>
      </w:r>
      <w:r w:rsidRPr="00787C02">
        <w:rPr>
          <w:rFonts w:hint="eastAsia"/>
        </w:rPr>
        <w:t>年版）》的相关规定执行。”</w:t>
      </w:r>
      <w:r w:rsidRPr="00787C02">
        <w:rPr>
          <w:rFonts w:hint="eastAsia"/>
        </w:rPr>
        <w:t>2021</w:t>
      </w:r>
      <w:r w:rsidRPr="00787C02">
        <w:rPr>
          <w:rFonts w:hint="eastAsia"/>
        </w:rPr>
        <w:t>年</w:t>
      </w:r>
      <w:r w:rsidRPr="00787C02">
        <w:rPr>
          <w:rFonts w:hint="eastAsia"/>
        </w:rPr>
        <w:t>4</w:t>
      </w:r>
      <w:r w:rsidRPr="00787C02">
        <w:rPr>
          <w:rFonts w:hint="eastAsia"/>
        </w:rPr>
        <w:t>月，央行、</w:t>
      </w:r>
      <w:proofErr w:type="gramStart"/>
      <w:r w:rsidRPr="00787C02">
        <w:rPr>
          <w:rFonts w:hint="eastAsia"/>
        </w:rPr>
        <w:t>发改委</w:t>
      </w:r>
      <w:proofErr w:type="gramEnd"/>
      <w:r w:rsidRPr="00787C02">
        <w:rPr>
          <w:rFonts w:hint="eastAsia"/>
        </w:rPr>
        <w:t>、证监会三部门进一步更新印发了《绿色债券支持项目目录（</w:t>
      </w:r>
      <w:r w:rsidRPr="00787C02">
        <w:rPr>
          <w:rFonts w:hint="eastAsia"/>
        </w:rPr>
        <w:t>2021</w:t>
      </w:r>
      <w:r w:rsidRPr="00787C02">
        <w:rPr>
          <w:rFonts w:hint="eastAsia"/>
        </w:rPr>
        <w:t>年版）》。</w:t>
      </w:r>
      <w:r w:rsidRPr="00787C02">
        <w:t>然而在实际操作中，绿色票据交易标的更为具体，超出项目的范围。</w:t>
      </w:r>
    </w:p>
    <w:p w14:paraId="2154A0EF" w14:textId="77777777" w:rsidR="00B54827" w:rsidRPr="00787C02" w:rsidRDefault="0092791C">
      <w:pPr>
        <w:ind w:firstLine="640"/>
      </w:pPr>
      <w:r w:rsidRPr="00787C02">
        <w:rPr>
          <w:rFonts w:hint="eastAsia"/>
        </w:rPr>
        <w:lastRenderedPageBreak/>
        <w:t>2019</w:t>
      </w:r>
      <w:r w:rsidRPr="00787C02">
        <w:rPr>
          <w:rFonts w:hint="eastAsia"/>
        </w:rPr>
        <w:t>年</w:t>
      </w:r>
      <w:r w:rsidRPr="00787C02">
        <w:rPr>
          <w:rFonts w:hint="eastAsia"/>
        </w:rPr>
        <w:t>3</w:t>
      </w:r>
      <w:r w:rsidRPr="00787C02">
        <w:rPr>
          <w:rFonts w:hint="eastAsia"/>
        </w:rPr>
        <w:t>月，</w:t>
      </w:r>
      <w:proofErr w:type="gramStart"/>
      <w:r w:rsidRPr="00787C02">
        <w:rPr>
          <w:rFonts w:hint="eastAsia"/>
        </w:rPr>
        <w:t>国家发改委</w:t>
      </w:r>
      <w:proofErr w:type="gramEnd"/>
      <w:r w:rsidRPr="00787C02">
        <w:rPr>
          <w:rFonts w:hint="eastAsia"/>
        </w:rPr>
        <w:t>、人民银行等七部委发布《绿色产业指导目录（</w:t>
      </w:r>
      <w:r w:rsidRPr="00787C02">
        <w:rPr>
          <w:rFonts w:hint="eastAsia"/>
        </w:rPr>
        <w:t>2019</w:t>
      </w:r>
      <w:r w:rsidRPr="00787C02">
        <w:rPr>
          <w:rFonts w:hint="eastAsia"/>
        </w:rPr>
        <w:t>年版）》，进一步厘清了绿色产业和项目边界，覆盖范围最广、涉及种类最多、产品认证细节最为详细，为修订和统一完善绿色金融标准提供了基础，更符合绿色票据的识别和认定要求。</w:t>
      </w:r>
    </w:p>
    <w:p w14:paraId="46AEB592" w14:textId="060FF01F" w:rsidR="00B54827" w:rsidRPr="00787C02" w:rsidRDefault="0092791C">
      <w:pPr>
        <w:ind w:firstLine="640"/>
      </w:pPr>
      <w:r w:rsidRPr="00787C02">
        <w:t>因此，本标准</w:t>
      </w:r>
      <w:r w:rsidRPr="00787C02">
        <w:rPr>
          <w:rFonts w:hint="eastAsia"/>
        </w:rPr>
        <w:t>同时以《绿色债券支持项目目录（</w:t>
      </w:r>
      <w:r w:rsidRPr="00787C02">
        <w:rPr>
          <w:rFonts w:hint="eastAsia"/>
        </w:rPr>
        <w:t>2021</w:t>
      </w:r>
      <w:r w:rsidRPr="00787C02">
        <w:rPr>
          <w:rFonts w:hint="eastAsia"/>
        </w:rPr>
        <w:t>年版）》（银发〔</w:t>
      </w:r>
      <w:r w:rsidRPr="00787C02">
        <w:rPr>
          <w:rFonts w:hint="eastAsia"/>
        </w:rPr>
        <w:t>2021</w:t>
      </w:r>
      <w:r w:rsidRPr="00787C02">
        <w:rPr>
          <w:rFonts w:hint="eastAsia"/>
        </w:rPr>
        <w:t>〕</w:t>
      </w:r>
      <w:r w:rsidRPr="00787C02">
        <w:rPr>
          <w:rFonts w:hint="eastAsia"/>
        </w:rPr>
        <w:t>96</w:t>
      </w:r>
      <w:r w:rsidRPr="00787C02">
        <w:rPr>
          <w:rFonts w:hint="eastAsia"/>
        </w:rPr>
        <w:t>号）和《绿色产业指导目录（</w:t>
      </w:r>
      <w:r w:rsidRPr="00787C02">
        <w:rPr>
          <w:rFonts w:hint="eastAsia"/>
        </w:rPr>
        <w:t>2019</w:t>
      </w:r>
      <w:r w:rsidRPr="00787C02">
        <w:rPr>
          <w:rFonts w:hint="eastAsia"/>
        </w:rPr>
        <w:t>年版）》（</w:t>
      </w:r>
      <w:proofErr w:type="gramStart"/>
      <w:r w:rsidRPr="00787C02">
        <w:rPr>
          <w:rFonts w:hint="eastAsia"/>
        </w:rPr>
        <w:t>发改环</w:t>
      </w:r>
      <w:proofErr w:type="gramEnd"/>
      <w:r w:rsidRPr="00787C02">
        <w:rPr>
          <w:rFonts w:hint="eastAsia"/>
        </w:rPr>
        <w:t>资〔</w:t>
      </w:r>
      <w:r w:rsidRPr="00787C02">
        <w:rPr>
          <w:rFonts w:hint="eastAsia"/>
        </w:rPr>
        <w:t>2019</w:t>
      </w:r>
      <w:r w:rsidRPr="00787C02">
        <w:rPr>
          <w:rFonts w:hint="eastAsia"/>
        </w:rPr>
        <w:t>〕</w:t>
      </w:r>
      <w:r w:rsidRPr="00787C02">
        <w:rPr>
          <w:rFonts w:hint="eastAsia"/>
        </w:rPr>
        <w:t>293</w:t>
      </w:r>
      <w:r w:rsidRPr="00787C02">
        <w:rPr>
          <w:rFonts w:hint="eastAsia"/>
        </w:rPr>
        <w:t>号）为绿色票据认定的主要依据。此外</w:t>
      </w:r>
      <w:r w:rsidRPr="00787C02">
        <w:t>，为加强地方绿色票据业务的规模化发展，本标准也将地方绿色产业目录作为绿色票据认定的依据之一。</w:t>
      </w:r>
    </w:p>
    <w:p w14:paraId="2519BE2B" w14:textId="77777777" w:rsidR="00B54827" w:rsidRPr="00787C02" w:rsidRDefault="0092791C" w:rsidP="00787C02">
      <w:pPr>
        <w:pStyle w:val="1"/>
        <w:ind w:firstLineChars="0" w:firstLine="0"/>
      </w:pPr>
      <w:r w:rsidRPr="00787C02">
        <w:t>四、国内外绿色票据发展现状</w:t>
      </w:r>
    </w:p>
    <w:p w14:paraId="67A13FC6" w14:textId="3661A011" w:rsidR="00B54827" w:rsidRPr="00787C02" w:rsidRDefault="0092791C">
      <w:pPr>
        <w:ind w:firstLine="640"/>
      </w:pPr>
      <w:r w:rsidRPr="00787C02">
        <w:rPr>
          <w:rFonts w:hint="eastAsia"/>
        </w:rPr>
        <w:t>当前，不同地区、不同金融机构已经开展绿色票据业务有关实践。</w:t>
      </w:r>
      <w:r w:rsidRPr="00787C02">
        <w:rPr>
          <w:rFonts w:hint="eastAsia"/>
        </w:rPr>
        <w:t>2018</w:t>
      </w:r>
      <w:r w:rsidRPr="00787C02">
        <w:rPr>
          <w:rFonts w:hint="eastAsia"/>
        </w:rPr>
        <w:t>年</w:t>
      </w:r>
      <w:r w:rsidRPr="00787C02">
        <w:rPr>
          <w:rFonts w:hint="eastAsia"/>
        </w:rPr>
        <w:t>3</w:t>
      </w:r>
      <w:r w:rsidRPr="00787C02">
        <w:rPr>
          <w:rFonts w:hint="eastAsia"/>
        </w:rPr>
        <w:t>月，人行克拉玛依市中心支行首先对绿色票据再贴现给予专项额度，引导票据资金投向石油石化传统产业绿色化升级。</w:t>
      </w:r>
      <w:r w:rsidRPr="00787C02">
        <w:rPr>
          <w:rFonts w:hint="eastAsia"/>
        </w:rPr>
        <w:t>2018</w:t>
      </w:r>
      <w:r w:rsidRPr="00787C02">
        <w:rPr>
          <w:rFonts w:hint="eastAsia"/>
        </w:rPr>
        <w:t>年</w:t>
      </w:r>
      <w:r w:rsidRPr="00787C02">
        <w:rPr>
          <w:rFonts w:hint="eastAsia"/>
        </w:rPr>
        <w:t>6</w:t>
      </w:r>
      <w:r w:rsidRPr="00787C02">
        <w:rPr>
          <w:rFonts w:hint="eastAsia"/>
        </w:rPr>
        <w:t>月，人行潍坊市中心支行制定“绿色票据直通车”实施意见，对经银行机构推荐并纳入重点支持名单的绿色企业或绿色项目，在商品交易和劳务供应中签发、收受、转让的商业汇票，优先给予再贴现支持。</w:t>
      </w:r>
      <w:r w:rsidRPr="00787C02">
        <w:rPr>
          <w:rFonts w:hint="eastAsia"/>
        </w:rPr>
        <w:t>2018</w:t>
      </w:r>
      <w:r w:rsidRPr="00787C02">
        <w:rPr>
          <w:rFonts w:hint="eastAsia"/>
        </w:rPr>
        <w:t>年</w:t>
      </w:r>
      <w:r w:rsidRPr="00787C02">
        <w:rPr>
          <w:rFonts w:hint="eastAsia"/>
        </w:rPr>
        <w:t>10</w:t>
      </w:r>
      <w:r w:rsidRPr="00787C02">
        <w:rPr>
          <w:rFonts w:hint="eastAsia"/>
        </w:rPr>
        <w:t>月，人行深圳市中心支行推出“绿票通”再贴现工具，给予绿色票据再贴现专项额度，构建绿色企业白名单，对白名单内的企业办理绿色再贴现，截至</w:t>
      </w:r>
      <w:r w:rsidRPr="00787C02">
        <w:rPr>
          <w:rFonts w:hint="eastAsia"/>
        </w:rPr>
        <w:t>2021</w:t>
      </w:r>
      <w:r w:rsidRPr="00787C02">
        <w:rPr>
          <w:rFonts w:hint="eastAsia"/>
        </w:rPr>
        <w:t>年底再贴现规模</w:t>
      </w:r>
      <w:r w:rsidRPr="00787C02">
        <w:rPr>
          <w:rFonts w:hint="eastAsia"/>
        </w:rPr>
        <w:lastRenderedPageBreak/>
        <w:t>近百亿元。江西省发布了首个绿色票据相关政策，</w:t>
      </w:r>
      <w:r w:rsidRPr="00787C02">
        <w:rPr>
          <w:rFonts w:hint="eastAsia"/>
        </w:rPr>
        <w:t>2020</w:t>
      </w:r>
      <w:r w:rsidRPr="00787C02">
        <w:rPr>
          <w:rFonts w:hint="eastAsia"/>
        </w:rPr>
        <w:t>年</w:t>
      </w:r>
      <w:r w:rsidRPr="00787C02">
        <w:rPr>
          <w:rFonts w:hint="eastAsia"/>
        </w:rPr>
        <w:t>3</w:t>
      </w:r>
      <w:r w:rsidRPr="00787C02">
        <w:rPr>
          <w:rFonts w:hint="eastAsia"/>
        </w:rPr>
        <w:t>月，江西省金融学会印发《江西省绿色票据认定和管理指引（试行）》，</w:t>
      </w:r>
      <w:r w:rsidRPr="00787C02">
        <w:rPr>
          <w:rFonts w:hint="eastAsia"/>
        </w:rPr>
        <w:t>2020</w:t>
      </w:r>
      <w:r w:rsidRPr="00787C02">
        <w:rPr>
          <w:rFonts w:hint="eastAsia"/>
        </w:rPr>
        <w:t>年</w:t>
      </w:r>
      <w:r w:rsidRPr="00787C02">
        <w:rPr>
          <w:rFonts w:hint="eastAsia"/>
        </w:rPr>
        <w:t>4</w:t>
      </w:r>
      <w:r w:rsidRPr="00787C02">
        <w:rPr>
          <w:rFonts w:hint="eastAsia"/>
        </w:rPr>
        <w:t>月，人行南昌市中心支行印发了《关于运用再贴现工具支持绿色票据发展的通知》，文件均聚焦于绿色票据认定标准及流程，一定程度上解决了当地发展绿色票据业务的重难点之一。但全国尚未有绿色票据认定的公开标准可以参考和引用。</w:t>
      </w:r>
    </w:p>
    <w:p w14:paraId="30188C10" w14:textId="77777777" w:rsidR="00B54827" w:rsidRPr="00787C02" w:rsidRDefault="0092791C" w:rsidP="00787C02">
      <w:pPr>
        <w:pStyle w:val="1"/>
        <w:ind w:firstLineChars="0" w:firstLine="0"/>
      </w:pPr>
      <w:r w:rsidRPr="00787C02">
        <w:rPr>
          <w:rFonts w:hint="eastAsia"/>
        </w:rPr>
        <w:t>五、先进性说明</w:t>
      </w:r>
    </w:p>
    <w:p w14:paraId="38C20254" w14:textId="5A468185" w:rsidR="00B54827" w:rsidRPr="00787C02" w:rsidRDefault="0092791C">
      <w:pPr>
        <w:ind w:firstLine="640"/>
      </w:pPr>
      <w:r w:rsidRPr="00787C02">
        <w:rPr>
          <w:rFonts w:hint="eastAsia"/>
        </w:rPr>
        <w:t>2018</w:t>
      </w:r>
      <w:r w:rsidRPr="00787C02">
        <w:rPr>
          <w:rFonts w:hint="eastAsia"/>
        </w:rPr>
        <w:t>年</w:t>
      </w:r>
      <w:r w:rsidRPr="00787C02">
        <w:rPr>
          <w:rFonts w:hint="eastAsia"/>
        </w:rPr>
        <w:t>9</w:t>
      </w:r>
      <w:r w:rsidRPr="00787C02">
        <w:rPr>
          <w:rFonts w:hint="eastAsia"/>
        </w:rPr>
        <w:t>月，全国金融标准化技术委员会成立了绿色金融标准工作组，制定了构建统一完备高质量的绿色金融标准体系的工作目标，并设立了多个绿色金融产品标准小组，各项前期研究工作稳步推进。</w:t>
      </w:r>
      <w:r w:rsidRPr="00787C02">
        <w:rPr>
          <w:rFonts w:hint="eastAsia"/>
        </w:rPr>
        <w:t>2019</w:t>
      </w:r>
      <w:r w:rsidRPr="00787C02">
        <w:rPr>
          <w:rFonts w:hint="eastAsia"/>
        </w:rPr>
        <w:t>年</w:t>
      </w:r>
      <w:r w:rsidRPr="00787C02">
        <w:rPr>
          <w:rFonts w:hint="eastAsia"/>
        </w:rPr>
        <w:t>10</w:t>
      </w:r>
      <w:r w:rsidRPr="00787C02">
        <w:rPr>
          <w:rFonts w:hint="eastAsia"/>
        </w:rPr>
        <w:t>月，中国人民银行研究局正式启动绿色票据标准的研究工作，并将“绿色票据标准”纳入国家绿色金融标准化工程，持续推进绿色票据标准化工作。作为我国首批绿色金融改革创新试验区，江西、广州等地均在积极探索绿色票据认定标准，出台相关制度文件，但尚未形成技术标准，且在深圳市的适用性有待商榷。因此，《绿色票据认定指南》的出台，有望成为我国首个针对“绿色票据”识别和认定的技术标准文件。</w:t>
      </w:r>
    </w:p>
    <w:p w14:paraId="05E0130E" w14:textId="77777777" w:rsidR="00B54827" w:rsidRPr="00787C02" w:rsidRDefault="0092791C" w:rsidP="00787C02">
      <w:pPr>
        <w:pStyle w:val="1"/>
        <w:ind w:firstLineChars="0" w:firstLine="0"/>
      </w:pPr>
      <w:r w:rsidRPr="00787C02">
        <w:rPr>
          <w:rFonts w:hint="eastAsia"/>
        </w:rPr>
        <w:lastRenderedPageBreak/>
        <w:t>六、重大分歧意见的处理经过和依据</w:t>
      </w:r>
    </w:p>
    <w:p w14:paraId="0047BEF4" w14:textId="77777777" w:rsidR="00B54827" w:rsidRDefault="0092791C">
      <w:pPr>
        <w:ind w:firstLine="640"/>
      </w:pPr>
      <w:r w:rsidRPr="00787C02">
        <w:rPr>
          <w:rFonts w:hint="eastAsia"/>
        </w:rPr>
        <w:t>本标准在制定过程中未出现重大分歧意见。</w:t>
      </w:r>
    </w:p>
    <w:sectPr w:rsidR="00B54827">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7DE48F" w14:textId="77777777" w:rsidR="00550A9F" w:rsidRDefault="00550A9F">
      <w:pPr>
        <w:spacing w:line="240" w:lineRule="auto"/>
        <w:ind w:firstLine="640"/>
      </w:pPr>
      <w:r>
        <w:separator/>
      </w:r>
    </w:p>
  </w:endnote>
  <w:endnote w:type="continuationSeparator" w:id="0">
    <w:p w14:paraId="2BD4656D" w14:textId="77777777" w:rsidR="00550A9F" w:rsidRDefault="00550A9F">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2DC00B" w14:textId="77777777" w:rsidR="00B54827" w:rsidRDefault="00B54827">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206298"/>
    </w:sdtPr>
    <w:sdtEndPr/>
    <w:sdtContent>
      <w:p w14:paraId="4E2F52E6" w14:textId="77777777" w:rsidR="00B54827" w:rsidRDefault="0092791C">
        <w:pPr>
          <w:pStyle w:val="a5"/>
          <w:ind w:firstLine="360"/>
          <w:jc w:val="center"/>
        </w:pPr>
        <w:r>
          <w:fldChar w:fldCharType="begin"/>
        </w:r>
        <w:r>
          <w:instrText>PAGE   \* MERGEFORMAT</w:instrText>
        </w:r>
        <w:r>
          <w:fldChar w:fldCharType="separate"/>
        </w:r>
        <w:r w:rsidR="007C69D3" w:rsidRPr="007C69D3">
          <w:rPr>
            <w:noProof/>
            <w:lang w:val="zh-CN"/>
          </w:rPr>
          <w:t>2</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FD70D" w14:textId="77777777" w:rsidR="00B54827" w:rsidRDefault="00B54827">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BE5410" w14:textId="77777777" w:rsidR="00550A9F" w:rsidRDefault="00550A9F">
      <w:pPr>
        <w:ind w:firstLine="640"/>
      </w:pPr>
      <w:r>
        <w:separator/>
      </w:r>
    </w:p>
  </w:footnote>
  <w:footnote w:type="continuationSeparator" w:id="0">
    <w:p w14:paraId="01FD0334" w14:textId="77777777" w:rsidR="00550A9F" w:rsidRDefault="00550A9F">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7B6F4" w14:textId="77777777" w:rsidR="00B54827" w:rsidRDefault="00B54827">
    <w:pPr>
      <w:pStyle w:val="a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A2EFA" w14:textId="77777777" w:rsidR="00B54827" w:rsidRDefault="00B54827">
    <w:pPr>
      <w:pStyle w:val="a6"/>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05AEB" w14:textId="77777777" w:rsidR="00B54827" w:rsidRDefault="00B54827">
    <w:pPr>
      <w:pStyle w:val="a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E816A3"/>
    <w:multiLevelType w:val="multilevel"/>
    <w:tmpl w:val="6AE816A3"/>
    <w:lvl w:ilvl="0">
      <w:start w:val="4"/>
      <w:numFmt w:val="bullet"/>
      <w:lvlText w:val="-"/>
      <w:lvlJc w:val="left"/>
      <w:pPr>
        <w:ind w:left="1060" w:hanging="420"/>
      </w:pPr>
      <w:rPr>
        <w:rFonts w:ascii="Times New Roman" w:eastAsia="仿宋" w:hAnsi="Times New Roman" w:cs="Times New Roman" w:hint="default"/>
      </w:rPr>
    </w:lvl>
    <w:lvl w:ilvl="1">
      <w:start w:val="1"/>
      <w:numFmt w:val="bullet"/>
      <w:lvlText w:val=""/>
      <w:lvlJc w:val="left"/>
      <w:pPr>
        <w:ind w:left="1480" w:hanging="420"/>
      </w:pPr>
      <w:rPr>
        <w:rFonts w:ascii="Wingdings" w:hAnsi="Wingdings" w:hint="default"/>
      </w:rPr>
    </w:lvl>
    <w:lvl w:ilvl="2">
      <w:start w:val="1"/>
      <w:numFmt w:val="bullet"/>
      <w:lvlText w:val=""/>
      <w:lvlJc w:val="left"/>
      <w:pPr>
        <w:ind w:left="1900" w:hanging="420"/>
      </w:pPr>
      <w:rPr>
        <w:rFonts w:ascii="Wingdings" w:hAnsi="Wingdings" w:hint="default"/>
      </w:rPr>
    </w:lvl>
    <w:lvl w:ilvl="3">
      <w:start w:val="1"/>
      <w:numFmt w:val="bullet"/>
      <w:lvlText w:val=""/>
      <w:lvlJc w:val="left"/>
      <w:pPr>
        <w:ind w:left="2320" w:hanging="420"/>
      </w:pPr>
      <w:rPr>
        <w:rFonts w:ascii="Wingdings" w:hAnsi="Wingdings" w:hint="default"/>
      </w:rPr>
    </w:lvl>
    <w:lvl w:ilvl="4">
      <w:start w:val="1"/>
      <w:numFmt w:val="bullet"/>
      <w:lvlText w:val=""/>
      <w:lvlJc w:val="left"/>
      <w:pPr>
        <w:ind w:left="2740" w:hanging="420"/>
      </w:pPr>
      <w:rPr>
        <w:rFonts w:ascii="Wingdings" w:hAnsi="Wingdings" w:hint="default"/>
      </w:rPr>
    </w:lvl>
    <w:lvl w:ilvl="5">
      <w:start w:val="1"/>
      <w:numFmt w:val="bullet"/>
      <w:lvlText w:val=""/>
      <w:lvlJc w:val="left"/>
      <w:pPr>
        <w:ind w:left="3160" w:hanging="420"/>
      </w:pPr>
      <w:rPr>
        <w:rFonts w:ascii="Wingdings" w:hAnsi="Wingdings" w:hint="default"/>
      </w:rPr>
    </w:lvl>
    <w:lvl w:ilvl="6">
      <w:start w:val="1"/>
      <w:numFmt w:val="bullet"/>
      <w:lvlText w:val=""/>
      <w:lvlJc w:val="left"/>
      <w:pPr>
        <w:ind w:left="3580" w:hanging="420"/>
      </w:pPr>
      <w:rPr>
        <w:rFonts w:ascii="Wingdings" w:hAnsi="Wingdings" w:hint="default"/>
      </w:rPr>
    </w:lvl>
    <w:lvl w:ilvl="7">
      <w:start w:val="1"/>
      <w:numFmt w:val="bullet"/>
      <w:lvlText w:val=""/>
      <w:lvlJc w:val="left"/>
      <w:pPr>
        <w:ind w:left="4000" w:hanging="420"/>
      </w:pPr>
      <w:rPr>
        <w:rFonts w:ascii="Wingdings" w:hAnsi="Wingdings" w:hint="default"/>
      </w:rPr>
    </w:lvl>
    <w:lvl w:ilvl="8">
      <w:start w:val="1"/>
      <w:numFmt w:val="bullet"/>
      <w:lvlText w:val=""/>
      <w:lvlJc w:val="left"/>
      <w:pPr>
        <w:ind w:left="44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NiN2Q4YTAwNzE0YjMwMWYxN2ZjYmFmMmY2NGE2NjAifQ=="/>
  </w:docVars>
  <w:rsids>
    <w:rsidRoot w:val="004A1B5D"/>
    <w:rsid w:val="00025CE7"/>
    <w:rsid w:val="00045E94"/>
    <w:rsid w:val="000D5592"/>
    <w:rsid w:val="000F6AF3"/>
    <w:rsid w:val="001108CB"/>
    <w:rsid w:val="0013352D"/>
    <w:rsid w:val="00147E49"/>
    <w:rsid w:val="00176D99"/>
    <w:rsid w:val="001A3E72"/>
    <w:rsid w:val="001B49BD"/>
    <w:rsid w:val="001C3813"/>
    <w:rsid w:val="001C6CCD"/>
    <w:rsid w:val="001D34C1"/>
    <w:rsid w:val="00283CA2"/>
    <w:rsid w:val="00323ED6"/>
    <w:rsid w:val="0037068F"/>
    <w:rsid w:val="0038246B"/>
    <w:rsid w:val="00385D9E"/>
    <w:rsid w:val="003B1E14"/>
    <w:rsid w:val="003C38E7"/>
    <w:rsid w:val="0049539C"/>
    <w:rsid w:val="004A1B5D"/>
    <w:rsid w:val="004A225F"/>
    <w:rsid w:val="00504B8E"/>
    <w:rsid w:val="00512271"/>
    <w:rsid w:val="0052239B"/>
    <w:rsid w:val="00546083"/>
    <w:rsid w:val="00550A9F"/>
    <w:rsid w:val="005C0A54"/>
    <w:rsid w:val="00600DF0"/>
    <w:rsid w:val="006449E0"/>
    <w:rsid w:val="006576BF"/>
    <w:rsid w:val="006810CF"/>
    <w:rsid w:val="006D10D4"/>
    <w:rsid w:val="00742C1B"/>
    <w:rsid w:val="00787C02"/>
    <w:rsid w:val="007A1F4D"/>
    <w:rsid w:val="007B018C"/>
    <w:rsid w:val="007C1ACC"/>
    <w:rsid w:val="007C4794"/>
    <w:rsid w:val="007C69D3"/>
    <w:rsid w:val="007C743C"/>
    <w:rsid w:val="007F7783"/>
    <w:rsid w:val="008074A7"/>
    <w:rsid w:val="00810D5E"/>
    <w:rsid w:val="00826377"/>
    <w:rsid w:val="00881D9F"/>
    <w:rsid w:val="00884208"/>
    <w:rsid w:val="008A7C41"/>
    <w:rsid w:val="008B0C94"/>
    <w:rsid w:val="008E13BF"/>
    <w:rsid w:val="00917F3F"/>
    <w:rsid w:val="0092791C"/>
    <w:rsid w:val="0096061B"/>
    <w:rsid w:val="0097452A"/>
    <w:rsid w:val="00991591"/>
    <w:rsid w:val="009C3F01"/>
    <w:rsid w:val="009F456B"/>
    <w:rsid w:val="009F5F7A"/>
    <w:rsid w:val="00A21DDD"/>
    <w:rsid w:val="00AA3411"/>
    <w:rsid w:val="00AC34A3"/>
    <w:rsid w:val="00B43F11"/>
    <w:rsid w:val="00B54827"/>
    <w:rsid w:val="00BB2E0F"/>
    <w:rsid w:val="00BC2735"/>
    <w:rsid w:val="00BF1C52"/>
    <w:rsid w:val="00C337D8"/>
    <w:rsid w:val="00C35954"/>
    <w:rsid w:val="00C566EC"/>
    <w:rsid w:val="00C630DF"/>
    <w:rsid w:val="00C9187F"/>
    <w:rsid w:val="00C93403"/>
    <w:rsid w:val="00CC200A"/>
    <w:rsid w:val="00CC3765"/>
    <w:rsid w:val="00CF27D6"/>
    <w:rsid w:val="00D554FB"/>
    <w:rsid w:val="00D734CA"/>
    <w:rsid w:val="00D91B90"/>
    <w:rsid w:val="00D96EF9"/>
    <w:rsid w:val="00DE4C63"/>
    <w:rsid w:val="00DE543D"/>
    <w:rsid w:val="00DE74B1"/>
    <w:rsid w:val="00DE790A"/>
    <w:rsid w:val="00DF7888"/>
    <w:rsid w:val="00E200AA"/>
    <w:rsid w:val="00E53983"/>
    <w:rsid w:val="00E60127"/>
    <w:rsid w:val="00E828C3"/>
    <w:rsid w:val="00EC404E"/>
    <w:rsid w:val="00ED36BE"/>
    <w:rsid w:val="00EE7D93"/>
    <w:rsid w:val="00F072F6"/>
    <w:rsid w:val="00F409E2"/>
    <w:rsid w:val="00F5473A"/>
    <w:rsid w:val="00F64D0F"/>
    <w:rsid w:val="00F80F06"/>
    <w:rsid w:val="00F9213F"/>
    <w:rsid w:val="00F95E32"/>
    <w:rsid w:val="00FA293B"/>
    <w:rsid w:val="00FB6F8D"/>
    <w:rsid w:val="00FC7CAF"/>
    <w:rsid w:val="00FD4579"/>
    <w:rsid w:val="00FD5F83"/>
    <w:rsid w:val="00FF1623"/>
    <w:rsid w:val="00FF750D"/>
    <w:rsid w:val="07E82447"/>
    <w:rsid w:val="178E09F5"/>
    <w:rsid w:val="49D364E1"/>
    <w:rsid w:val="79CC34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6C75B4E-1C5A-4DB9-8E9E-67ED7195D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ind w:firstLineChars="200" w:firstLine="200"/>
      <w:jc w:val="both"/>
    </w:pPr>
    <w:rPr>
      <w:rFonts w:ascii="Times New Roman" w:eastAsia="仿宋" w:hAnsi="Times New Roman"/>
      <w:kern w:val="2"/>
      <w:sz w:val="32"/>
      <w:szCs w:val="22"/>
    </w:rPr>
  </w:style>
  <w:style w:type="paragraph" w:styleId="1">
    <w:name w:val="heading 1"/>
    <w:basedOn w:val="a"/>
    <w:next w:val="a"/>
    <w:link w:val="1Char"/>
    <w:uiPriority w:val="9"/>
    <w:qFormat/>
    <w:pPr>
      <w:keepNext/>
      <w:keepLines/>
      <w:spacing w:before="240" w:after="240"/>
      <w:outlineLvl w:val="0"/>
    </w:pPr>
    <w:rPr>
      <w:rFonts w:eastAsia="黑体"/>
      <w:b/>
      <w:bCs/>
      <w:kern w:val="44"/>
      <w:szCs w:val="44"/>
    </w:rPr>
  </w:style>
  <w:style w:type="paragraph" w:styleId="2">
    <w:name w:val="heading 2"/>
    <w:basedOn w:val="a"/>
    <w:next w:val="a"/>
    <w:link w:val="2Char"/>
    <w:uiPriority w:val="9"/>
    <w:unhideWhenUsed/>
    <w:qFormat/>
    <w:pPr>
      <w:keepNext/>
      <w:keepLines/>
      <w:spacing w:before="120" w:after="120"/>
      <w:outlineLvl w:val="1"/>
    </w:pPr>
    <w:rPr>
      <w:rFonts w:asciiTheme="majorHAnsi" w:eastAsia="楷体" w:hAnsiTheme="majorHAnsi" w:cstheme="majorBidi"/>
      <w:b/>
      <w:bCs/>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pPr>
      <w:spacing w:line="240" w:lineRule="auto"/>
    </w:pPr>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Pr>
      <w:b/>
      <w:bCs/>
    </w:rPr>
  </w:style>
  <w:style w:type="character" w:styleId="a8">
    <w:name w:val="annotation reference"/>
    <w:basedOn w:val="a0"/>
    <w:uiPriority w:val="99"/>
    <w:semiHidden/>
    <w:unhideWhenUsed/>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1Char">
    <w:name w:val="标题 1 Char"/>
    <w:basedOn w:val="a0"/>
    <w:link w:val="1"/>
    <w:uiPriority w:val="9"/>
    <w:qFormat/>
    <w:rPr>
      <w:rFonts w:ascii="Times New Roman" w:eastAsia="黑体" w:hAnsi="Times New Roman"/>
      <w:b/>
      <w:bCs/>
      <w:kern w:val="44"/>
      <w:sz w:val="32"/>
      <w:szCs w:val="44"/>
    </w:rPr>
  </w:style>
  <w:style w:type="character" w:customStyle="1" w:styleId="2Char">
    <w:name w:val="标题 2 Char"/>
    <w:basedOn w:val="a0"/>
    <w:link w:val="2"/>
    <w:uiPriority w:val="9"/>
    <w:qFormat/>
    <w:rPr>
      <w:rFonts w:asciiTheme="majorHAnsi" w:eastAsia="楷体" w:hAnsiTheme="majorHAnsi" w:cstheme="majorBidi"/>
      <w:b/>
      <w:bCs/>
      <w:sz w:val="32"/>
      <w:szCs w:val="32"/>
    </w:rPr>
  </w:style>
  <w:style w:type="character" w:customStyle="1" w:styleId="3Char">
    <w:name w:val="标题 3 Char"/>
    <w:basedOn w:val="a0"/>
    <w:link w:val="3"/>
    <w:uiPriority w:val="9"/>
    <w:qFormat/>
    <w:rPr>
      <w:rFonts w:ascii="Times New Roman" w:eastAsia="仿宋" w:hAnsi="Times New Roman"/>
      <w:b/>
      <w:bCs/>
      <w:sz w:val="32"/>
      <w:szCs w:val="32"/>
    </w:rPr>
  </w:style>
  <w:style w:type="character" w:customStyle="1" w:styleId="Char">
    <w:name w:val="批注文字 Char"/>
    <w:basedOn w:val="a0"/>
    <w:link w:val="a3"/>
    <w:uiPriority w:val="99"/>
    <w:semiHidden/>
    <w:qFormat/>
    <w:rPr>
      <w:rFonts w:ascii="Times New Roman" w:eastAsia="仿宋" w:hAnsi="Times New Roman"/>
      <w:sz w:val="32"/>
    </w:rPr>
  </w:style>
  <w:style w:type="character" w:customStyle="1" w:styleId="Char3">
    <w:name w:val="批注主题 Char"/>
    <w:basedOn w:val="Char"/>
    <w:link w:val="a7"/>
    <w:uiPriority w:val="99"/>
    <w:semiHidden/>
    <w:qFormat/>
    <w:rPr>
      <w:rFonts w:ascii="Times New Roman" w:eastAsia="仿宋" w:hAnsi="Times New Roman"/>
      <w:b/>
      <w:bCs/>
      <w:sz w:val="32"/>
    </w:rPr>
  </w:style>
  <w:style w:type="character" w:customStyle="1" w:styleId="Char0">
    <w:name w:val="批注框文本 Char"/>
    <w:basedOn w:val="a0"/>
    <w:link w:val="a4"/>
    <w:uiPriority w:val="99"/>
    <w:semiHidden/>
    <w:qFormat/>
    <w:rPr>
      <w:rFonts w:ascii="Times New Roman" w:eastAsia="仿宋" w:hAnsi="Times New Roman"/>
      <w:sz w:val="18"/>
      <w:szCs w:val="18"/>
    </w:rPr>
  </w:style>
  <w:style w:type="paragraph" w:styleId="a9">
    <w:name w:val="List Paragraph"/>
    <w:basedOn w:val="a"/>
    <w:uiPriority w:val="34"/>
    <w:qFormat/>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A7539-C65E-459D-8934-B9BBA2BF6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873</Words>
  <Characters>4981</Characters>
  <Application>Microsoft Office Word</Application>
  <DocSecurity>0</DocSecurity>
  <Lines>41</Lines>
  <Paragraphs>11</Paragraphs>
  <ScaleCrop>false</ScaleCrop>
  <Company/>
  <LinksUpToDate>false</LinksUpToDate>
  <CharactersWithSpaces>5843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denglulu</dc:creator>
  <cp:lastModifiedBy>denglulu</cp:lastModifiedBy>
  <cp:revision>6</cp:revision>
  <dcterms:created xsi:type="dcterms:W3CDTF">2022-08-03T07:45:00Z</dcterms:created>
  <dcterms:modified xsi:type="dcterms:W3CDTF">2022-08-09T01:48:00Z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6FA03104674B41DEB48FA95A386023A1</vt:lpwstr>
  </property>
</Properties>
</file>