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32"/>
          <w:szCs w:val="32"/>
        </w:rPr>
      </w:pPr>
      <w:r>
        <w:rPr>
          <w:rFonts w:hint="eastAsia" w:ascii="黑体" w:hAnsi="黑体" w:eastAsia="黑体"/>
          <w:sz w:val="32"/>
          <w:szCs w:val="32"/>
        </w:rPr>
        <w:t>《无氰电铸硬金饰品》编制说明</w:t>
      </w:r>
    </w:p>
    <w:p>
      <w:pPr>
        <w:numPr>
          <w:ilvl w:val="0"/>
          <w:numId w:val="1"/>
        </w:numPr>
        <w:tabs>
          <w:tab w:val="left" w:pos="540"/>
          <w:tab w:val="clear" w:pos="720"/>
        </w:tabs>
        <w:spacing w:line="360" w:lineRule="auto"/>
        <w:ind w:left="360" w:hanging="360"/>
        <w:rPr>
          <w:rFonts w:ascii="黑体" w:hAnsi="黑体" w:eastAsia="黑体"/>
          <w:sz w:val="28"/>
          <w:szCs w:val="28"/>
        </w:rPr>
      </w:pPr>
      <w:r>
        <w:rPr>
          <w:rFonts w:hint="eastAsia" w:ascii="黑体" w:hAnsi="黑体" w:eastAsia="黑体"/>
          <w:sz w:val="28"/>
          <w:szCs w:val="28"/>
        </w:rPr>
        <w:t>工作概况</w:t>
      </w:r>
    </w:p>
    <w:p>
      <w:pPr>
        <w:spacing w:line="360" w:lineRule="auto"/>
        <w:ind w:firstLine="480" w:firstLineChars="200"/>
        <w:rPr>
          <w:rFonts w:ascii="黑体" w:hAnsi="黑体" w:eastAsia="黑体"/>
          <w:sz w:val="24"/>
        </w:rPr>
      </w:pPr>
      <w:r>
        <w:rPr>
          <w:rFonts w:hint="eastAsia" w:ascii="黑体" w:hAnsi="黑体" w:eastAsia="黑体"/>
          <w:sz w:val="24"/>
        </w:rPr>
        <w:t>1、任务来源</w:t>
      </w:r>
    </w:p>
    <w:p>
      <w:pPr>
        <w:widowControl/>
        <w:spacing w:line="360" w:lineRule="auto"/>
        <w:ind w:firstLine="480" w:firstLineChars="200"/>
        <w:jc w:val="left"/>
        <w:rPr>
          <w:rFonts w:ascii="宋体" w:hAnsi="宋体"/>
          <w:sz w:val="24"/>
        </w:rPr>
      </w:pPr>
      <w:r>
        <w:rPr>
          <w:rFonts w:hint="eastAsia" w:ascii="宋体" w:hAnsi="宋体"/>
          <w:sz w:val="24"/>
          <w:lang w:val="en-US" w:eastAsia="zh-CN"/>
        </w:rPr>
        <w:t>本规范由贵金属及珠宝玉石饰品企业标准联盟提出，按照GB/T 1.1-2020的规定起草。本规范起草单位：深圳市翠绿首饰制造</w:t>
      </w:r>
      <w:bookmarkStart w:id="0" w:name="_GoBack"/>
      <w:bookmarkEnd w:id="0"/>
      <w:r>
        <w:rPr>
          <w:rFonts w:hint="eastAsia" w:ascii="宋体" w:hAnsi="宋体"/>
          <w:sz w:val="24"/>
          <w:lang w:val="en-US" w:eastAsia="zh-CN"/>
        </w:rPr>
        <w:t>有限公司、深圳市金质金银珠宝检验研究中心有限公司、深圳市宝联珠宝标准与信息技术促进中心。</w:t>
      </w:r>
    </w:p>
    <w:p>
      <w:pPr>
        <w:spacing w:line="360" w:lineRule="auto"/>
        <w:ind w:left="359" w:leftChars="171" w:firstLine="120" w:firstLineChars="50"/>
        <w:rPr>
          <w:rFonts w:ascii="黑体" w:hAnsi="黑体" w:eastAsia="黑体"/>
          <w:sz w:val="24"/>
        </w:rPr>
      </w:pPr>
      <w:r>
        <w:rPr>
          <w:rFonts w:hint="eastAsia" w:ascii="黑体" w:hAnsi="黑体" w:eastAsia="黑体"/>
          <w:sz w:val="24"/>
        </w:rPr>
        <w:t>2、主要工作过程</w:t>
      </w:r>
    </w:p>
    <w:p>
      <w:pPr>
        <w:spacing w:line="360" w:lineRule="auto"/>
        <w:ind w:firstLine="480" w:firstLineChars="200"/>
        <w:rPr>
          <w:sz w:val="24"/>
        </w:rPr>
      </w:pPr>
      <w:r>
        <w:rPr>
          <w:rFonts w:hint="eastAsia"/>
          <w:sz w:val="24"/>
        </w:rPr>
        <w:t>（1）起草（草案、论证）阶段：</w:t>
      </w:r>
      <w:r>
        <w:rPr>
          <w:sz w:val="24"/>
        </w:rPr>
        <w:t>2020</w:t>
      </w:r>
      <w:r>
        <w:rPr>
          <w:rFonts w:hint="eastAsia"/>
          <w:sz w:val="24"/>
        </w:rPr>
        <w:t>年</w:t>
      </w:r>
      <w:r>
        <w:rPr>
          <w:rFonts w:hint="eastAsia"/>
          <w:sz w:val="24"/>
          <w:lang w:val="en-US" w:eastAsia="zh-CN"/>
        </w:rPr>
        <w:t>12</w:t>
      </w:r>
      <w:r>
        <w:rPr>
          <w:rFonts w:hint="eastAsia"/>
          <w:sz w:val="24"/>
        </w:rPr>
        <w:t>月立项，</w:t>
      </w:r>
      <w:r>
        <w:rPr>
          <w:sz w:val="24"/>
        </w:rPr>
        <w:t>2020年</w:t>
      </w:r>
      <w:r>
        <w:rPr>
          <w:rFonts w:hint="eastAsia"/>
          <w:sz w:val="24"/>
        </w:rPr>
        <w:t>主要起草单位正式征集工作组成员，工作组成员主要为</w:t>
      </w:r>
      <w:r>
        <w:rPr>
          <w:rFonts w:hint="eastAsia" w:ascii="宋体" w:hAnsi="宋体"/>
          <w:sz w:val="24"/>
          <w:lang w:val="en-US" w:eastAsia="zh-CN"/>
        </w:rPr>
        <w:t>贵金属及珠宝玉石饰品企业标准联盟</w:t>
      </w:r>
      <w:r>
        <w:rPr>
          <w:rFonts w:hint="eastAsia"/>
          <w:sz w:val="24"/>
        </w:rPr>
        <w:t>技术代表；截止20</w:t>
      </w:r>
      <w:r>
        <w:rPr>
          <w:sz w:val="24"/>
        </w:rPr>
        <w:t>2</w:t>
      </w:r>
      <w:r>
        <w:rPr>
          <w:rFonts w:hint="eastAsia"/>
          <w:sz w:val="24"/>
          <w:lang w:val="en-US" w:eastAsia="zh-CN"/>
        </w:rPr>
        <w:t>1</w:t>
      </w:r>
      <w:r>
        <w:rPr>
          <w:rFonts w:hint="eastAsia"/>
          <w:sz w:val="24"/>
        </w:rPr>
        <w:t>年</w:t>
      </w:r>
      <w:r>
        <w:rPr>
          <w:sz w:val="24"/>
        </w:rPr>
        <w:t>1</w:t>
      </w:r>
      <w:r>
        <w:rPr>
          <w:rFonts w:hint="eastAsia"/>
          <w:sz w:val="24"/>
        </w:rPr>
        <w:t>月，整理汇总和分析比较调研结果，编制标准大纲；截止2</w:t>
      </w:r>
      <w:r>
        <w:rPr>
          <w:sz w:val="24"/>
        </w:rPr>
        <w:t>021</w:t>
      </w:r>
      <w:r>
        <w:rPr>
          <w:rFonts w:hint="eastAsia"/>
          <w:sz w:val="24"/>
        </w:rPr>
        <w:t>年</w:t>
      </w:r>
      <w:r>
        <w:rPr>
          <w:rFonts w:hint="eastAsia"/>
          <w:sz w:val="24"/>
          <w:lang w:val="en-US" w:eastAsia="zh-CN"/>
        </w:rPr>
        <w:t>2</w:t>
      </w:r>
      <w:r>
        <w:rPr>
          <w:rFonts w:hint="eastAsia"/>
          <w:sz w:val="24"/>
        </w:rPr>
        <w:t>月，开展工作组讨论会，修改标准大纲；截止</w:t>
      </w:r>
      <w:r>
        <w:rPr>
          <w:sz w:val="24"/>
        </w:rPr>
        <w:t>2021</w:t>
      </w:r>
      <w:r>
        <w:rPr>
          <w:rFonts w:hint="eastAsia"/>
          <w:sz w:val="24"/>
        </w:rPr>
        <w:t>年2月，工作组编制草案，标准小组召开内部专家委员会开会讨论，反复修改，形成正式草案；截止2</w:t>
      </w:r>
      <w:r>
        <w:rPr>
          <w:sz w:val="24"/>
        </w:rPr>
        <w:t>021</w:t>
      </w:r>
      <w:r>
        <w:rPr>
          <w:rFonts w:hint="eastAsia"/>
          <w:sz w:val="24"/>
        </w:rPr>
        <w:t>年3月，</w:t>
      </w:r>
      <w:r>
        <w:rPr>
          <w:sz w:val="24"/>
        </w:rPr>
        <w:t>工作组广泛征集</w:t>
      </w:r>
      <w:r>
        <w:rPr>
          <w:rFonts w:hint="eastAsia"/>
          <w:sz w:val="24"/>
        </w:rPr>
        <w:t>行业企业和行业专家</w:t>
      </w:r>
      <w:r>
        <w:rPr>
          <w:sz w:val="24"/>
        </w:rPr>
        <w:t>意见，反复对</w:t>
      </w:r>
      <w:r>
        <w:rPr>
          <w:rFonts w:hint="eastAsia"/>
          <w:sz w:val="24"/>
        </w:rPr>
        <w:t>草</w:t>
      </w:r>
      <w:r>
        <w:rPr>
          <w:sz w:val="24"/>
        </w:rPr>
        <w:t>稿进行讨论修改，形成</w:t>
      </w:r>
      <w:r>
        <w:rPr>
          <w:rFonts w:hint="eastAsia"/>
          <w:sz w:val="24"/>
        </w:rPr>
        <w:t>工作组讨论</w:t>
      </w:r>
      <w:r>
        <w:rPr>
          <w:sz w:val="24"/>
        </w:rPr>
        <w:t>稿</w:t>
      </w:r>
      <w:r>
        <w:rPr>
          <w:rFonts w:hint="eastAsia"/>
          <w:sz w:val="24"/>
        </w:rPr>
        <w:t>和编制说明等文件；</w:t>
      </w:r>
    </w:p>
    <w:p>
      <w:pPr>
        <w:spacing w:line="360" w:lineRule="auto"/>
        <w:ind w:firstLine="480" w:firstLineChars="200"/>
        <w:rPr>
          <w:rFonts w:hint="eastAsia"/>
          <w:sz w:val="24"/>
        </w:rPr>
      </w:pPr>
      <w:r>
        <w:rPr>
          <w:rFonts w:hint="eastAsia"/>
          <w:sz w:val="24"/>
        </w:rPr>
        <w:t>（2）征求意见阶段：</w:t>
      </w:r>
      <w:r>
        <w:rPr>
          <w:sz w:val="24"/>
        </w:rPr>
        <w:t>2021</w:t>
      </w:r>
      <w:r>
        <w:rPr>
          <w:rFonts w:hint="eastAsia"/>
          <w:sz w:val="24"/>
        </w:rPr>
        <w:t>年</w:t>
      </w:r>
      <w:r>
        <w:rPr>
          <w:sz w:val="24"/>
        </w:rPr>
        <w:t>3</w:t>
      </w:r>
      <w:r>
        <w:rPr>
          <w:rFonts w:hint="eastAsia"/>
          <w:sz w:val="24"/>
        </w:rPr>
        <w:t>月</w:t>
      </w:r>
      <w:r>
        <w:rPr>
          <w:rFonts w:hint="eastAsia"/>
          <w:sz w:val="24"/>
          <w:lang w:eastAsia="zh-CN"/>
        </w:rPr>
        <w:t>，面向联盟成员单位征求意见；</w:t>
      </w:r>
      <w:r>
        <w:rPr>
          <w:rFonts w:hint="eastAsia"/>
          <w:sz w:val="24"/>
          <w:lang w:val="en-US" w:eastAsia="zh-CN"/>
        </w:rPr>
        <w:t>2021年4月，汇总征求意见表，对标准文本进行修改，形成送审稿和编制说明等文件，并送审；</w:t>
      </w:r>
    </w:p>
    <w:p>
      <w:pPr>
        <w:spacing w:line="360" w:lineRule="auto"/>
        <w:ind w:firstLine="480" w:firstLineChars="200"/>
        <w:rPr>
          <w:rFonts w:hint="eastAsia" w:ascii="宋体" w:hAnsi="宋体"/>
          <w:sz w:val="24"/>
          <w:lang w:val="en-US" w:eastAsia="zh-CN"/>
        </w:rPr>
      </w:pPr>
      <w:r>
        <w:rPr>
          <w:rFonts w:hint="eastAsia"/>
          <w:sz w:val="24"/>
          <w:lang w:eastAsia="zh-CN"/>
        </w:rPr>
        <w:t>（</w:t>
      </w:r>
      <w:r>
        <w:rPr>
          <w:rFonts w:hint="eastAsia"/>
          <w:sz w:val="24"/>
          <w:lang w:val="en-US" w:eastAsia="zh-CN"/>
        </w:rPr>
        <w:t>3）评审阶段：2021年5月18日，贵金属及珠宝玉石饰品企业标准联盟在</w:t>
      </w:r>
      <w:r>
        <w:rPr>
          <w:rFonts w:hint="eastAsia" w:ascii="宋体" w:hAnsi="宋体"/>
          <w:sz w:val="24"/>
          <w:lang w:val="en-US" w:eastAsia="zh-CN"/>
        </w:rPr>
        <w:t>深圳市金质金银珠宝检验研究中心有限公司会议室召开深圳市团体标准《硬足金饰品》专家评审会，专家组一致同意该标准通过评审，建议编制组根据专家评审意见对标准进行修改完善，尽快形成报批稿，报请市有关部门发布实施。</w:t>
      </w:r>
    </w:p>
    <w:p>
      <w:pPr>
        <w:spacing w:line="360" w:lineRule="auto"/>
        <w:ind w:firstLine="480" w:firstLineChars="200"/>
        <w:rPr>
          <w:rFonts w:hint="default" w:ascii="宋体" w:hAnsi="宋体"/>
          <w:sz w:val="24"/>
          <w:lang w:val="en-US" w:eastAsia="zh-CN"/>
        </w:rPr>
      </w:pPr>
      <w:r>
        <w:rPr>
          <w:rFonts w:hint="eastAsia"/>
          <w:sz w:val="24"/>
          <w:lang w:eastAsia="zh-CN"/>
        </w:rPr>
        <w:t>（</w:t>
      </w:r>
      <w:r>
        <w:rPr>
          <w:rFonts w:hint="eastAsia"/>
          <w:sz w:val="24"/>
          <w:lang w:val="en-US" w:eastAsia="zh-CN"/>
        </w:rPr>
        <w:t>4）修订阶段：2022年3月31日，深圳市市场监督管理局发布《深圳标准先进性评价细则-无氰硬金饰品》，根据评价细则的先进指标进行标准修订。2022年4月对标准文本进行修改，形成征求意见稿和编制说等文件。4月中旬向深圳市深圳标准促进会提交征集意见稿，面向全市范围函件和网络征集意见。</w:t>
      </w:r>
    </w:p>
    <w:p>
      <w:pPr>
        <w:spacing w:before="156" w:beforeLines="50" w:after="156" w:afterLines="50" w:line="360" w:lineRule="auto"/>
        <w:ind w:left="359" w:leftChars="171" w:firstLine="120" w:firstLineChars="50"/>
        <w:rPr>
          <w:rFonts w:ascii="黑体" w:hAnsi="黑体" w:eastAsia="黑体"/>
          <w:sz w:val="24"/>
        </w:rPr>
      </w:pPr>
      <w:r>
        <w:rPr>
          <w:rFonts w:hint="eastAsia" w:ascii="黑体" w:hAnsi="黑体" w:eastAsia="黑体"/>
          <w:sz w:val="24"/>
        </w:rPr>
        <w:t>3、</w:t>
      </w:r>
      <w:r>
        <w:rPr>
          <w:rFonts w:ascii="黑体" w:hAnsi="黑体" w:eastAsia="黑体"/>
          <w:kern w:val="0"/>
          <w:sz w:val="24"/>
        </w:rPr>
        <w:t>主要参加单位和工作组成员及其所做的工作</w:t>
      </w:r>
    </w:p>
    <w:p>
      <w:pPr>
        <w:widowControl/>
        <w:spacing w:line="360" w:lineRule="auto"/>
        <w:ind w:firstLine="480" w:firstLineChars="200"/>
        <w:jc w:val="left"/>
        <w:rPr>
          <w:sz w:val="24"/>
        </w:rPr>
      </w:pPr>
      <w:r>
        <w:rPr>
          <w:rFonts w:hint="eastAsia"/>
          <w:sz w:val="24"/>
        </w:rPr>
        <w:t>本标准</w:t>
      </w:r>
      <w:r>
        <w:rPr>
          <w:rFonts w:hint="eastAsia" w:ascii="宋体" w:hAnsi="宋体"/>
          <w:sz w:val="24"/>
        </w:rPr>
        <w:t>由</w:t>
      </w:r>
      <w:r>
        <w:rPr>
          <w:rFonts w:hint="eastAsia" w:ascii="宋体" w:hAnsi="宋体"/>
          <w:sz w:val="24"/>
          <w:lang w:val="en-US" w:eastAsia="zh-CN"/>
        </w:rPr>
        <w:t>深圳市翠绿首饰股份有限公司、深圳市金质金银珠宝检验研究中心有限公司、深圳市宝联珠宝标准与信息技术促进中心</w:t>
      </w:r>
      <w:r>
        <w:rPr>
          <w:rFonts w:hint="eastAsia"/>
          <w:sz w:val="24"/>
        </w:rPr>
        <w:t>。</w:t>
      </w:r>
    </w:p>
    <w:p>
      <w:pPr>
        <w:widowControl/>
        <w:spacing w:line="360" w:lineRule="auto"/>
        <w:ind w:firstLine="480" w:firstLineChars="200"/>
        <w:jc w:val="left"/>
        <w:rPr>
          <w:sz w:val="24"/>
        </w:rPr>
      </w:pPr>
      <w:r>
        <w:rPr>
          <w:rFonts w:hint="eastAsia"/>
          <w:sz w:val="24"/>
        </w:rPr>
        <w:t>主要成员：</w:t>
      </w:r>
      <w:r>
        <w:rPr>
          <w:rFonts w:hint="eastAsia"/>
          <w:sz w:val="24"/>
          <w:lang w:val="en-US" w:eastAsia="zh-CN"/>
        </w:rPr>
        <w:t>黄万洲、</w:t>
      </w:r>
      <w:r>
        <w:rPr>
          <w:rFonts w:hint="eastAsia"/>
          <w:sz w:val="24"/>
          <w:lang w:eastAsia="zh-CN"/>
        </w:rPr>
        <w:t>杨佩、</w:t>
      </w:r>
      <w:r>
        <w:rPr>
          <w:rFonts w:hint="eastAsia"/>
          <w:sz w:val="24"/>
          <w:lang w:val="en-US" w:eastAsia="zh-CN"/>
        </w:rPr>
        <w:t>张海龙、王彤、王德雨、高婷、周灿坤、徐兴阳、李章平、罗雪莹、马骏。</w:t>
      </w:r>
    </w:p>
    <w:p>
      <w:pPr>
        <w:widowControl/>
        <w:spacing w:line="360" w:lineRule="auto"/>
        <w:ind w:firstLine="480" w:firstLineChars="200"/>
        <w:jc w:val="left"/>
        <w:rPr>
          <w:sz w:val="24"/>
        </w:rPr>
      </w:pPr>
      <w:r>
        <w:rPr>
          <w:rFonts w:hint="eastAsia"/>
          <w:sz w:val="24"/>
        </w:rPr>
        <w:t>所做的工作：</w:t>
      </w:r>
      <w:r>
        <w:rPr>
          <w:rFonts w:hint="eastAsia"/>
          <w:sz w:val="24"/>
          <w:lang w:eastAsia="zh-CN"/>
        </w:rPr>
        <w:t>杨佩</w:t>
      </w:r>
      <w:r>
        <w:rPr>
          <w:rFonts w:hint="eastAsia"/>
          <w:sz w:val="24"/>
        </w:rPr>
        <w:t>负责</w:t>
      </w:r>
      <w:r>
        <w:rPr>
          <w:sz w:val="24"/>
        </w:rPr>
        <w:t>法律法规及定稿把关</w:t>
      </w:r>
      <w:r>
        <w:rPr>
          <w:rFonts w:hint="eastAsia"/>
          <w:sz w:val="24"/>
        </w:rPr>
        <w:t>；</w:t>
      </w:r>
      <w:r>
        <w:rPr>
          <w:rFonts w:hint="eastAsia"/>
          <w:sz w:val="24"/>
          <w:lang w:val="en-US" w:eastAsia="zh-CN"/>
        </w:rPr>
        <w:t>黄万洲</w:t>
      </w:r>
      <w:r>
        <w:rPr>
          <w:sz w:val="24"/>
        </w:rPr>
        <w:t>负责标准文本的审核修改及与意见单位的沟通</w:t>
      </w:r>
      <w:r>
        <w:rPr>
          <w:rFonts w:hint="eastAsia"/>
          <w:sz w:val="24"/>
        </w:rPr>
        <w:t>；</w:t>
      </w:r>
      <w:r>
        <w:rPr>
          <w:rFonts w:hint="eastAsia"/>
          <w:sz w:val="24"/>
          <w:lang w:val="en-US" w:eastAsia="zh-CN"/>
        </w:rPr>
        <w:t>张海龙</w:t>
      </w:r>
      <w:r>
        <w:rPr>
          <w:rFonts w:hint="eastAsia"/>
          <w:sz w:val="24"/>
        </w:rPr>
        <w:t>负责问卷和资料调研、</w:t>
      </w:r>
      <w:r>
        <w:rPr>
          <w:sz w:val="24"/>
        </w:rPr>
        <w:t>起草文本</w:t>
      </w:r>
      <w:r>
        <w:rPr>
          <w:rFonts w:hint="eastAsia"/>
          <w:sz w:val="24"/>
        </w:rPr>
        <w:t>、</w:t>
      </w:r>
      <w:r>
        <w:rPr>
          <w:sz w:val="24"/>
        </w:rPr>
        <w:t>起草标准编制说明</w:t>
      </w:r>
      <w:r>
        <w:rPr>
          <w:rFonts w:hint="eastAsia"/>
          <w:sz w:val="24"/>
        </w:rPr>
        <w:t>、</w:t>
      </w:r>
      <w:r>
        <w:rPr>
          <w:sz w:val="24"/>
        </w:rPr>
        <w:t>企业等各方面意见的征询和反馈收集</w:t>
      </w:r>
      <w:r>
        <w:rPr>
          <w:rFonts w:hint="eastAsia"/>
          <w:sz w:val="24"/>
        </w:rPr>
        <w:t>及标准文本</w:t>
      </w:r>
      <w:r>
        <w:rPr>
          <w:sz w:val="24"/>
        </w:rPr>
        <w:t>修改工作</w:t>
      </w:r>
      <w:r>
        <w:rPr>
          <w:rFonts w:hint="eastAsia"/>
          <w:sz w:val="24"/>
        </w:rPr>
        <w:t>。</w:t>
      </w:r>
    </w:p>
    <w:p>
      <w:pPr>
        <w:spacing w:before="156" w:beforeLines="50" w:line="360" w:lineRule="auto"/>
        <w:rPr>
          <w:rFonts w:eastAsia="黑体"/>
          <w:sz w:val="28"/>
          <w:szCs w:val="28"/>
        </w:rPr>
      </w:pPr>
      <w:r>
        <w:rPr>
          <w:rFonts w:eastAsia="黑体"/>
          <w:sz w:val="28"/>
          <w:szCs w:val="28"/>
        </w:rPr>
        <w:t>二、编制原则和主要内容</w:t>
      </w:r>
    </w:p>
    <w:p>
      <w:pPr>
        <w:spacing w:before="156" w:beforeLines="50" w:after="156" w:afterLines="50" w:line="360" w:lineRule="auto"/>
        <w:ind w:firstLine="480" w:firstLineChars="200"/>
        <w:rPr>
          <w:rFonts w:eastAsia="黑体"/>
          <w:sz w:val="24"/>
        </w:rPr>
      </w:pPr>
      <w:r>
        <w:rPr>
          <w:rFonts w:eastAsia="黑体"/>
          <w:sz w:val="24"/>
        </w:rPr>
        <w:t>1、编制原则</w:t>
      </w:r>
    </w:p>
    <w:p>
      <w:pPr>
        <w:spacing w:before="156" w:beforeLines="50" w:after="156" w:afterLines="50" w:line="360" w:lineRule="auto"/>
        <w:ind w:firstLine="480" w:firstLineChars="200"/>
        <w:rPr>
          <w:rFonts w:eastAsia="黑体"/>
          <w:sz w:val="24"/>
        </w:rPr>
      </w:pPr>
      <w:r>
        <w:rPr>
          <w:rFonts w:hint="eastAsia" w:ascii="宋体" w:hAnsi="宋体"/>
          <w:sz w:val="24"/>
        </w:rPr>
        <w:t>标准的格式、结构和内容主要按照GB/T 1.1《标准化工作导则 第1部分：标准的结构和编写》进行编写。编制原则符合《轻工行业标准制修订工作细则》的规定，符合成套成体系原则</w:t>
      </w:r>
      <w:r>
        <w:rPr>
          <w:rFonts w:hint="eastAsia" w:ascii="宋体" w:hAnsi="宋体"/>
          <w:kern w:val="0"/>
          <w:sz w:val="24"/>
        </w:rPr>
        <w:t>等</w:t>
      </w:r>
      <w:r>
        <w:rPr>
          <w:rFonts w:hint="eastAsia" w:ascii="宋体" w:hAnsi="宋体"/>
          <w:sz w:val="24"/>
        </w:rPr>
        <w:t>标准立项原则。标准编制原则如下：</w:t>
      </w:r>
    </w:p>
    <w:p>
      <w:pPr>
        <w:spacing w:before="156" w:beforeLines="50" w:after="156" w:afterLines="50" w:line="360" w:lineRule="auto"/>
        <w:ind w:firstLine="480" w:firstLineChars="200"/>
        <w:rPr>
          <w:rFonts w:ascii="宋体" w:hAnsi="宋体"/>
          <w:sz w:val="24"/>
        </w:rPr>
      </w:pPr>
      <w:r>
        <w:rPr>
          <w:rFonts w:hint="eastAsia" w:ascii="宋体" w:hAnsi="宋体"/>
          <w:sz w:val="24"/>
        </w:rPr>
        <w:t>a) 产业发展原则</w:t>
      </w:r>
    </w:p>
    <w:p>
      <w:pPr>
        <w:spacing w:before="156" w:beforeLines="50" w:after="156" w:afterLines="50" w:line="360" w:lineRule="auto"/>
        <w:ind w:firstLine="480" w:firstLineChars="200"/>
        <w:rPr>
          <w:rFonts w:ascii="宋体" w:hAnsi="宋体"/>
          <w:sz w:val="24"/>
        </w:rPr>
      </w:pPr>
      <w:r>
        <w:rPr>
          <w:rFonts w:hint="eastAsia" w:ascii="宋体" w:hAnsi="宋体"/>
          <w:sz w:val="24"/>
        </w:rPr>
        <w:t>为促进产业升级，需要通过标准来推动，制定标准建立在贵金属及珠宝玉石饰品企业标准联盟的数十家企业技术基础，标准计划履行符合企业为主、中介参与、政府引导和支持的标准制修订新模式，技术、人才、资金等各方面均有较好的准备，具有很强的可行性。</w:t>
      </w:r>
    </w:p>
    <w:p>
      <w:pPr>
        <w:spacing w:before="156" w:beforeLines="50" w:after="156" w:afterLines="50" w:line="360" w:lineRule="auto"/>
        <w:ind w:firstLine="480" w:firstLineChars="200"/>
        <w:rPr>
          <w:rFonts w:ascii="宋体" w:hAnsi="宋体"/>
          <w:sz w:val="24"/>
        </w:rPr>
      </w:pPr>
      <w:r>
        <w:rPr>
          <w:rFonts w:hint="eastAsia" w:ascii="宋体" w:hAnsi="宋体"/>
          <w:sz w:val="24"/>
        </w:rPr>
        <w:t>b)</w:t>
      </w:r>
      <w:r>
        <w:rPr>
          <w:rFonts w:hint="eastAsia" w:ascii="宋体" w:hAnsi="宋体"/>
          <w:sz w:val="24"/>
        </w:rPr>
        <w:tab/>
      </w:r>
      <w:r>
        <w:rPr>
          <w:rFonts w:hint="eastAsia" w:ascii="宋体" w:hAnsi="宋体"/>
          <w:sz w:val="24"/>
        </w:rPr>
        <w:t>市场需要原则</w:t>
      </w:r>
    </w:p>
    <w:p>
      <w:pPr>
        <w:spacing w:before="156" w:beforeLines="50" w:after="156" w:afterLines="50" w:line="360" w:lineRule="auto"/>
        <w:ind w:firstLine="480" w:firstLineChars="200"/>
        <w:rPr>
          <w:rFonts w:ascii="宋体" w:hAnsi="宋体"/>
          <w:sz w:val="24"/>
        </w:rPr>
      </w:pPr>
      <w:r>
        <w:rPr>
          <w:rFonts w:hint="eastAsia" w:ascii="宋体" w:hAnsi="宋体"/>
          <w:sz w:val="24"/>
        </w:rPr>
        <w:t>标准计划的提出和编制，以充分调研我国珠宝首饰制造加工企业的实际标准需求为基础，力求符合珠宝首饰制造加工企业绿色认证的需要。</w:t>
      </w:r>
    </w:p>
    <w:p>
      <w:pPr>
        <w:spacing w:before="156" w:beforeLines="50" w:after="156" w:afterLines="50" w:line="360" w:lineRule="auto"/>
        <w:ind w:firstLine="480" w:firstLineChars="200"/>
        <w:rPr>
          <w:rFonts w:ascii="宋体" w:hAnsi="宋体"/>
          <w:sz w:val="24"/>
        </w:rPr>
      </w:pPr>
      <w:r>
        <w:rPr>
          <w:rFonts w:hint="eastAsia" w:ascii="宋体" w:hAnsi="宋体"/>
          <w:sz w:val="24"/>
        </w:rPr>
        <w:t>c)</w:t>
      </w:r>
      <w:r>
        <w:rPr>
          <w:rFonts w:hint="eastAsia" w:ascii="宋体" w:hAnsi="宋体"/>
          <w:sz w:val="24"/>
        </w:rPr>
        <w:tab/>
      </w:r>
      <w:r>
        <w:rPr>
          <w:rFonts w:hint="eastAsia" w:ascii="宋体" w:hAnsi="宋体"/>
          <w:sz w:val="24"/>
        </w:rPr>
        <w:t>重点突出原则</w:t>
      </w:r>
    </w:p>
    <w:p>
      <w:pPr>
        <w:spacing w:before="156" w:beforeLines="50" w:after="156" w:afterLines="50" w:line="360" w:lineRule="auto"/>
        <w:ind w:firstLine="480" w:firstLineChars="200"/>
        <w:rPr>
          <w:rFonts w:ascii="宋体" w:hAnsi="宋体"/>
          <w:sz w:val="24"/>
        </w:rPr>
      </w:pPr>
      <w:r>
        <w:rPr>
          <w:rFonts w:hint="eastAsia" w:ascii="宋体" w:hAnsi="宋体"/>
          <w:sz w:val="24"/>
        </w:rPr>
        <w:t>标准内容编制包含绿色饰品认证的各个方面，突出标准重点。</w:t>
      </w:r>
    </w:p>
    <w:p>
      <w:pPr>
        <w:spacing w:before="156" w:beforeLines="50" w:after="156" w:afterLines="50" w:line="360" w:lineRule="auto"/>
        <w:ind w:firstLine="480" w:firstLineChars="200"/>
        <w:rPr>
          <w:rFonts w:ascii="宋体" w:hAnsi="宋体"/>
          <w:sz w:val="24"/>
        </w:rPr>
      </w:pPr>
      <w:r>
        <w:rPr>
          <w:rFonts w:hint="eastAsia" w:ascii="宋体" w:hAnsi="宋体"/>
          <w:sz w:val="24"/>
        </w:rPr>
        <w:t>d)</w:t>
      </w:r>
      <w:r>
        <w:rPr>
          <w:rFonts w:hint="eastAsia" w:ascii="宋体" w:hAnsi="宋体"/>
          <w:sz w:val="24"/>
        </w:rPr>
        <w:tab/>
      </w:r>
      <w:r>
        <w:rPr>
          <w:rFonts w:hint="eastAsia" w:ascii="宋体" w:hAnsi="宋体"/>
          <w:sz w:val="24"/>
        </w:rPr>
        <w:t>成套成体系原则</w:t>
      </w:r>
    </w:p>
    <w:p>
      <w:pPr>
        <w:spacing w:before="156" w:beforeLines="50" w:after="156" w:afterLines="50" w:line="360" w:lineRule="auto"/>
        <w:ind w:firstLine="480" w:firstLineChars="200"/>
        <w:rPr>
          <w:rFonts w:ascii="宋体" w:hAnsi="宋体"/>
          <w:sz w:val="24"/>
        </w:rPr>
      </w:pPr>
      <w:r>
        <w:rPr>
          <w:rFonts w:hint="eastAsia" w:ascii="宋体" w:hAnsi="宋体"/>
          <w:sz w:val="24"/>
        </w:rPr>
        <w:t>标准计划的提出和编制，建立在充分查找和参阅现行法律法规及相关的国家标准、行业标准的基础上，保证标准计划的内容能够符合法律法规以及强制性国家标准、行业标准的要求，并避免与现行相关国家标准和行业标准内容发生交叉重复。力求标准计划的提出弥补我国现行珠宝首饰制造加工行业技术标准体系的空缺，共同推进行业标准体系的完善。</w:t>
      </w:r>
    </w:p>
    <w:p>
      <w:pPr>
        <w:spacing w:before="156" w:beforeLines="50" w:after="156" w:afterLines="50" w:line="360" w:lineRule="auto"/>
        <w:ind w:firstLine="480" w:firstLineChars="200"/>
        <w:rPr>
          <w:rFonts w:eastAsia="黑体"/>
          <w:sz w:val="24"/>
        </w:rPr>
      </w:pPr>
      <w:r>
        <w:rPr>
          <w:rFonts w:eastAsia="黑体"/>
          <w:sz w:val="24"/>
        </w:rPr>
        <w:t>2、主要技术内容</w:t>
      </w:r>
    </w:p>
    <w:p>
      <w:pPr>
        <w:spacing w:line="360" w:lineRule="auto"/>
        <w:ind w:right="227" w:rightChars="108" w:firstLine="480" w:firstLineChars="200"/>
        <w:rPr>
          <w:sz w:val="24"/>
        </w:rPr>
      </w:pPr>
      <w:r>
        <w:rPr>
          <w:rFonts w:hAnsi="宋体"/>
          <w:sz w:val="24"/>
        </w:rPr>
        <w:t>本标准主要技术内容：范围、规范性引用文件、</w:t>
      </w:r>
      <w:r>
        <w:rPr>
          <w:rFonts w:hint="eastAsia" w:hAnsi="宋体"/>
          <w:sz w:val="24"/>
          <w:lang w:val="en-US" w:eastAsia="zh-CN"/>
        </w:rPr>
        <w:t>术语和</w:t>
      </w:r>
      <w:r>
        <w:rPr>
          <w:rFonts w:hint="eastAsia" w:hAnsi="宋体"/>
          <w:sz w:val="24"/>
        </w:rPr>
        <w:t>定义、要求、测定方法、检验规则、标识及包装、运输和储存。</w:t>
      </w:r>
    </w:p>
    <w:p>
      <w:pPr>
        <w:spacing w:before="156" w:beforeLines="50" w:after="156" w:afterLines="50" w:line="360" w:lineRule="auto"/>
        <w:ind w:right="227" w:rightChars="108" w:firstLine="480" w:firstLineChars="200"/>
        <w:rPr>
          <w:rFonts w:ascii="黑体" w:hAnsi="黑体" w:eastAsia="黑体"/>
          <w:sz w:val="24"/>
        </w:rPr>
      </w:pPr>
      <w:r>
        <w:rPr>
          <w:rFonts w:hint="eastAsia" w:ascii="黑体" w:hAnsi="黑体" w:eastAsia="黑体"/>
          <w:sz w:val="24"/>
        </w:rPr>
        <w:t>3、解决的主要问题</w:t>
      </w:r>
    </w:p>
    <w:p>
      <w:pPr>
        <w:spacing w:line="360" w:lineRule="auto"/>
        <w:ind w:right="227" w:rightChars="108" w:firstLine="480" w:firstLineChars="200"/>
        <w:rPr>
          <w:sz w:val="24"/>
        </w:rPr>
      </w:pPr>
      <w:r>
        <w:rPr>
          <w:rFonts w:hint="eastAsia" w:ascii="宋体" w:hAnsi="宋体"/>
          <w:sz w:val="24"/>
        </w:rPr>
        <w:t>制定团体标准《无氰电铸硬金饰品》无论从标准体系中此方面空白的角度，还是从实际产业需求出发，是及时而有效的。通过制定《无氰电铸硬金饰品》标准，既能够响应习近平总书记的号召也能对珠宝企业的良性、绿色发展提供助力。硬金</w:t>
      </w:r>
      <w:r>
        <w:rPr>
          <w:rFonts w:hint="eastAsia" w:ascii="宋体" w:hAnsi="宋体"/>
          <w:sz w:val="24"/>
          <w:lang w:val="en-US" w:eastAsia="zh-CN"/>
        </w:rPr>
        <w:t>饰品</w:t>
      </w:r>
      <w:r>
        <w:rPr>
          <w:rFonts w:hint="eastAsia" w:ascii="宋体" w:hAnsi="宋体"/>
          <w:sz w:val="24"/>
        </w:rPr>
        <w:t>市场正在蓬勃发展，但仍然缺少标准来规范金饰产品并为行业提供指导。例如，理想的硬度范围和合金补口的规范等等。消费者购买创新金饰时，应该得到纯度、硬度、环保和无害的保障。缺少相关的标准会阻碍这一朝阳产业的发展。</w:t>
      </w:r>
    </w:p>
    <w:p>
      <w:pPr>
        <w:spacing w:before="156" w:beforeLines="50" w:line="360" w:lineRule="auto"/>
        <w:rPr>
          <w:rFonts w:eastAsia="黑体"/>
          <w:sz w:val="28"/>
          <w:szCs w:val="28"/>
        </w:rPr>
      </w:pPr>
      <w:r>
        <w:rPr>
          <w:rFonts w:eastAsia="黑体"/>
          <w:sz w:val="28"/>
          <w:szCs w:val="28"/>
        </w:rPr>
        <w:t>三、主要试验</w:t>
      </w:r>
      <w:r>
        <w:rPr>
          <w:rFonts w:hint="eastAsia" w:eastAsia="黑体"/>
          <w:sz w:val="28"/>
          <w:szCs w:val="28"/>
        </w:rPr>
        <w:t>（或验证）</w:t>
      </w:r>
      <w:r>
        <w:rPr>
          <w:rFonts w:eastAsia="黑体"/>
          <w:sz w:val="28"/>
          <w:szCs w:val="28"/>
        </w:rPr>
        <w:t>情况</w:t>
      </w:r>
    </w:p>
    <w:p>
      <w:pPr>
        <w:spacing w:line="360" w:lineRule="auto"/>
        <w:ind w:firstLine="480"/>
        <w:rPr>
          <w:rFonts w:ascii="宋体" w:hAnsi="宋体"/>
          <w:sz w:val="24"/>
        </w:rPr>
      </w:pPr>
      <w:r>
        <w:rPr>
          <w:rFonts w:hint="eastAsia" w:ascii="宋体" w:hAnsi="宋体"/>
          <w:sz w:val="24"/>
        </w:rPr>
        <w:t>本标准为基础标准，无试验。</w:t>
      </w:r>
    </w:p>
    <w:p>
      <w:pPr>
        <w:spacing w:before="156" w:beforeLines="50" w:after="156" w:afterLines="50" w:line="360" w:lineRule="auto"/>
        <w:ind w:right="227" w:rightChars="108"/>
        <w:rPr>
          <w:rFonts w:eastAsia="黑体"/>
          <w:sz w:val="28"/>
          <w:szCs w:val="28"/>
        </w:rPr>
      </w:pPr>
      <w:r>
        <w:rPr>
          <w:rFonts w:eastAsia="黑体"/>
          <w:sz w:val="28"/>
          <w:szCs w:val="28"/>
        </w:rPr>
        <w:t>四、</w:t>
      </w:r>
      <w:r>
        <w:rPr>
          <w:rFonts w:eastAsia="黑体"/>
          <w:kern w:val="0"/>
          <w:sz w:val="28"/>
          <w:szCs w:val="28"/>
        </w:rPr>
        <w:t>标准中涉及专利</w:t>
      </w:r>
      <w:r>
        <w:rPr>
          <w:rFonts w:hint="eastAsia" w:eastAsia="黑体"/>
          <w:kern w:val="0"/>
          <w:sz w:val="28"/>
          <w:szCs w:val="28"/>
        </w:rPr>
        <w:t>情况</w:t>
      </w:r>
    </w:p>
    <w:p>
      <w:pPr>
        <w:spacing w:line="360" w:lineRule="auto"/>
        <w:ind w:right="227" w:rightChars="108" w:firstLine="480"/>
        <w:rPr>
          <w:sz w:val="24"/>
        </w:rPr>
      </w:pPr>
      <w:r>
        <w:rPr>
          <w:rFonts w:hint="eastAsia"/>
          <w:sz w:val="24"/>
        </w:rPr>
        <w:t>本标准不涉及专利问题</w:t>
      </w:r>
      <w:r>
        <w:rPr>
          <w:sz w:val="24"/>
        </w:rPr>
        <w:t>。</w:t>
      </w:r>
    </w:p>
    <w:p>
      <w:pPr>
        <w:spacing w:before="156" w:beforeLines="50" w:after="156" w:afterLines="50" w:line="360" w:lineRule="auto"/>
        <w:ind w:right="227" w:rightChars="108"/>
        <w:rPr>
          <w:rFonts w:eastAsia="黑体"/>
          <w:sz w:val="28"/>
          <w:szCs w:val="28"/>
        </w:rPr>
      </w:pPr>
      <w:r>
        <w:rPr>
          <w:rFonts w:eastAsia="黑体"/>
          <w:sz w:val="28"/>
          <w:szCs w:val="28"/>
        </w:rPr>
        <w:t>五、</w:t>
      </w:r>
      <w:r>
        <w:rPr>
          <w:rFonts w:hint="eastAsia" w:eastAsia="黑体"/>
          <w:sz w:val="28"/>
          <w:szCs w:val="28"/>
        </w:rPr>
        <w:t>预期达到的社会效益、对产业发展的作用等情况</w:t>
      </w:r>
    </w:p>
    <w:p>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中国是世界产金第一大国，国内金饰品市场主要由足金饰品、足金饰品及18K金饰品占据，由于国人的喜好，更多的人追求金的高纯度，也因此市场上千足金饰品一直是贵金属饰品界的宠儿。然而，随着时代的发展，国人追求高成色的同时，饰品的时尚也成为左右消费者购买力的重要因素之一。黄金特点就是质地柔软，一般情况下，金饰品的纯度与硬度成反比，18K金饰品固然能兼顾外观设计等时尚元素，但因其较低成色，尚不能满足许多消费者，而传统黄金硬度较低，外观设计受限颇多且极易变形。有需求便有供给，为迎合消费者喜好，一些有规模的金饰品制造企业进行自主研究，或委托科研机构进行研究，硬金饰品便应势而生——高于传统金的硬度，从而有效解决了目前普遍存在的黄金电铸工艺饰品的日常佩戴问题，在黄金制造工艺上取得突破性进展。且同款产品硬金产品的重量只有传统黄金产品重量的1/2左右。这种高硬度，外观不易变形、经久耐用且款式新颖、形象生动的硬金饰品推出市场两三年间，即受到消费者的喜爱，短短时间在饰品市场上便占有一席之地。随着硬金饰品的受欢迎程度不断增加，越来越多的珠宝企业自主研究推出硬金饰品，纯度基本达到足金，有多种叫法，如太空金等等，其本质还是硬度较高的足金。</w:t>
      </w:r>
    </w:p>
    <w:p>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近年来，随着珠宝首饰行业的快速发展，对电铸硬足金饰品的需求越来越大。国内外电铸硬足金饰品生产工艺主要分为两大类：有氰电铸和无氰电铸。2010年之前，由于无氰电铸金工艺的不稳定、成本偏高，从而有氰电铸工艺生产出的足金饰品占据了绝大部分市场份额。近年来，随着安全、环保等国家法律法规的逐渐完善以及消费者对金饰品的要求不断提高，无氰电铸足金饰品正在逐步取代有氰电铸足金饰品的市场地位。</w:t>
      </w:r>
    </w:p>
    <w:p>
      <w:pPr>
        <w:spacing w:line="360" w:lineRule="auto"/>
        <w:ind w:firstLine="480" w:firstLineChars="200"/>
        <w:rPr>
          <w:rFonts w:ascii="宋体" w:hAnsi="宋体"/>
          <w:sz w:val="24"/>
        </w:rPr>
      </w:pPr>
      <w:r>
        <w:rPr>
          <w:rFonts w:hint="eastAsia" w:ascii="宋体" w:hAnsi="宋体"/>
          <w:sz w:val="24"/>
        </w:rPr>
        <w:t>本</w:t>
      </w:r>
      <w:r>
        <w:rPr>
          <w:rFonts w:ascii="宋体" w:hAnsi="宋体"/>
          <w:sz w:val="24"/>
        </w:rPr>
        <w:t>标准的制订和发布实施，对于促进</w:t>
      </w:r>
      <w:r>
        <w:rPr>
          <w:rFonts w:hint="eastAsia" w:ascii="宋体" w:hAnsi="宋体"/>
          <w:sz w:val="24"/>
        </w:rPr>
        <w:t>我国整个珠宝首饰制造加工行业的绿色、良性发展</w:t>
      </w:r>
      <w:r>
        <w:rPr>
          <w:rFonts w:ascii="宋体" w:hAnsi="宋体"/>
          <w:sz w:val="24"/>
        </w:rPr>
        <w:t>具有重大意义</w:t>
      </w:r>
      <w:r>
        <w:rPr>
          <w:rFonts w:hint="eastAsia" w:ascii="宋体" w:hAnsi="宋体"/>
          <w:sz w:val="24"/>
        </w:rPr>
        <w:t>，促进产业结构调整与优化升级</w:t>
      </w:r>
      <w:r>
        <w:rPr>
          <w:rFonts w:ascii="宋体" w:hAnsi="宋体"/>
          <w:sz w:val="24"/>
        </w:rPr>
        <w:t>。</w:t>
      </w:r>
    </w:p>
    <w:p>
      <w:pPr>
        <w:spacing w:before="156" w:beforeLines="50" w:after="156" w:afterLines="50" w:line="360" w:lineRule="auto"/>
        <w:ind w:right="227" w:rightChars="108"/>
        <w:rPr>
          <w:rFonts w:eastAsia="黑体"/>
          <w:kern w:val="0"/>
          <w:sz w:val="28"/>
          <w:szCs w:val="28"/>
        </w:rPr>
      </w:pPr>
      <w:r>
        <w:rPr>
          <w:rFonts w:eastAsia="黑体"/>
          <w:sz w:val="28"/>
          <w:szCs w:val="28"/>
        </w:rPr>
        <w:t>六、</w:t>
      </w:r>
      <w:r>
        <w:rPr>
          <w:rFonts w:hint="eastAsia" w:eastAsia="黑体"/>
          <w:kern w:val="0"/>
          <w:sz w:val="28"/>
          <w:szCs w:val="28"/>
        </w:rPr>
        <w:t>与</w:t>
      </w:r>
      <w:r>
        <w:rPr>
          <w:rFonts w:eastAsia="黑体"/>
          <w:kern w:val="0"/>
          <w:sz w:val="28"/>
          <w:szCs w:val="28"/>
        </w:rPr>
        <w:t>国际</w:t>
      </w:r>
      <w:r>
        <w:rPr>
          <w:rFonts w:hint="eastAsia" w:eastAsia="黑体"/>
          <w:kern w:val="0"/>
          <w:sz w:val="28"/>
          <w:szCs w:val="28"/>
        </w:rPr>
        <w:t>、</w:t>
      </w:r>
      <w:r>
        <w:rPr>
          <w:rFonts w:eastAsia="黑体"/>
          <w:kern w:val="0"/>
          <w:sz w:val="28"/>
          <w:szCs w:val="28"/>
        </w:rPr>
        <w:t>国外</w:t>
      </w:r>
      <w:r>
        <w:rPr>
          <w:rFonts w:hint="eastAsia" w:eastAsia="黑体"/>
          <w:kern w:val="0"/>
          <w:sz w:val="28"/>
          <w:szCs w:val="28"/>
        </w:rPr>
        <w:t>对比情况</w:t>
      </w:r>
    </w:p>
    <w:p>
      <w:pPr>
        <w:spacing w:line="360" w:lineRule="auto"/>
        <w:ind w:firstLine="480" w:firstLineChars="200"/>
        <w:rPr>
          <w:rFonts w:ascii="宋体" w:hAnsi="宋体"/>
          <w:sz w:val="24"/>
        </w:rPr>
      </w:pPr>
      <w:r>
        <w:rPr>
          <w:rFonts w:hint="eastAsia" w:ascii="宋体" w:hAnsi="宋体"/>
          <w:sz w:val="24"/>
        </w:rPr>
        <w:t>本标准没有采用国际标准。</w:t>
      </w:r>
    </w:p>
    <w:p>
      <w:pPr>
        <w:spacing w:line="360" w:lineRule="auto"/>
        <w:ind w:firstLine="480" w:firstLineChars="200"/>
        <w:rPr>
          <w:rFonts w:ascii="宋体" w:hAnsi="宋体"/>
          <w:sz w:val="24"/>
        </w:rPr>
      </w:pPr>
      <w:r>
        <w:rPr>
          <w:rFonts w:hint="eastAsia" w:ascii="宋体" w:hAnsi="宋体"/>
          <w:sz w:val="24"/>
        </w:rPr>
        <w:t>本标准制定过程中未查到同类国际、国外标准。</w:t>
      </w:r>
    </w:p>
    <w:p>
      <w:pPr>
        <w:spacing w:line="360" w:lineRule="auto"/>
        <w:ind w:firstLine="480" w:firstLineChars="200"/>
        <w:rPr>
          <w:rFonts w:ascii="宋体" w:hAnsi="宋体"/>
          <w:sz w:val="24"/>
        </w:rPr>
      </w:pPr>
      <w:r>
        <w:rPr>
          <w:rFonts w:hint="eastAsia" w:ascii="宋体" w:hAnsi="宋体"/>
          <w:sz w:val="24"/>
        </w:rPr>
        <w:t>本标准制定过程中未测试国外的样品、样机。</w:t>
      </w:r>
    </w:p>
    <w:p>
      <w:pPr>
        <w:spacing w:after="156" w:afterLines="50" w:line="360" w:lineRule="auto"/>
        <w:ind w:firstLine="480" w:firstLineChars="200"/>
        <w:rPr>
          <w:rFonts w:ascii="宋体" w:hAnsi="宋体"/>
          <w:sz w:val="24"/>
        </w:rPr>
      </w:pPr>
      <w:r>
        <w:rPr>
          <w:rFonts w:hint="eastAsia" w:ascii="宋体" w:hAnsi="宋体"/>
          <w:sz w:val="24"/>
        </w:rPr>
        <w:t>本标准水平为国内先进水平。</w:t>
      </w:r>
    </w:p>
    <w:p>
      <w:pPr>
        <w:spacing w:after="156" w:afterLines="50" w:line="360" w:lineRule="auto"/>
        <w:rPr>
          <w:rFonts w:ascii="黑体" w:hAnsi="黑体" w:eastAsia="黑体"/>
          <w:sz w:val="28"/>
          <w:szCs w:val="28"/>
        </w:rPr>
      </w:pPr>
      <w:r>
        <w:rPr>
          <w:rFonts w:hint="eastAsia" w:ascii="黑体" w:hAnsi="黑体" w:eastAsia="黑体"/>
          <w:sz w:val="28"/>
          <w:szCs w:val="28"/>
        </w:rPr>
        <w:t>七、在标准体系中的位置，与现行相关法律、法规、规章及相关标准，特别是强制性标准的协调性</w:t>
      </w:r>
    </w:p>
    <w:p>
      <w:pPr>
        <w:spacing w:line="360" w:lineRule="auto"/>
        <w:ind w:firstLine="480" w:firstLineChars="200"/>
        <w:rPr>
          <w:rFonts w:ascii="宋体" w:hAnsi="宋体"/>
          <w:sz w:val="24"/>
        </w:rPr>
      </w:pPr>
      <w:r>
        <w:rPr>
          <w:rFonts w:hint="eastAsia" w:ascii="宋体" w:hAnsi="宋体"/>
          <w:sz w:val="24"/>
        </w:rPr>
        <w:t>本标准属于首饰领域标准体系“首饰”大类、“珠宝玉石饰品”中类。</w:t>
      </w:r>
    </w:p>
    <w:p>
      <w:pPr>
        <w:spacing w:after="156" w:afterLines="50" w:line="360" w:lineRule="auto"/>
        <w:ind w:firstLine="480" w:firstLineChars="200"/>
        <w:rPr>
          <w:rFonts w:ascii="宋体" w:hAnsi="宋体"/>
          <w:sz w:val="24"/>
        </w:rPr>
      </w:pPr>
      <w:r>
        <w:rPr>
          <w:rFonts w:hint="eastAsia" w:ascii="宋体" w:hAnsi="宋体"/>
          <w:sz w:val="24"/>
        </w:rPr>
        <w:t>本标准与现行相关法律、法规、规章及相关标准协调一致。</w:t>
      </w:r>
    </w:p>
    <w:p>
      <w:pPr>
        <w:spacing w:before="156" w:beforeLines="50" w:after="156" w:afterLines="50" w:line="360" w:lineRule="auto"/>
        <w:rPr>
          <w:rFonts w:eastAsia="黑体"/>
          <w:sz w:val="28"/>
          <w:szCs w:val="28"/>
        </w:rPr>
      </w:pPr>
      <w:r>
        <w:rPr>
          <w:rFonts w:eastAsia="黑体"/>
          <w:sz w:val="28"/>
          <w:szCs w:val="28"/>
        </w:rPr>
        <w:t>八、重大分歧</w:t>
      </w:r>
      <w:r>
        <w:rPr>
          <w:rFonts w:hint="eastAsia" w:eastAsia="黑体"/>
          <w:sz w:val="28"/>
          <w:szCs w:val="28"/>
        </w:rPr>
        <w:t>意见</w:t>
      </w:r>
      <w:r>
        <w:rPr>
          <w:rFonts w:eastAsia="黑体"/>
          <w:sz w:val="28"/>
          <w:szCs w:val="28"/>
        </w:rPr>
        <w:t>的处理</w:t>
      </w:r>
      <w:r>
        <w:rPr>
          <w:rFonts w:hint="eastAsia" w:eastAsia="黑体"/>
          <w:sz w:val="28"/>
          <w:szCs w:val="28"/>
        </w:rPr>
        <w:t>经过</w:t>
      </w:r>
      <w:r>
        <w:rPr>
          <w:rFonts w:eastAsia="黑体"/>
          <w:sz w:val="28"/>
          <w:szCs w:val="28"/>
        </w:rPr>
        <w:t>和依据</w:t>
      </w:r>
    </w:p>
    <w:p>
      <w:pPr>
        <w:spacing w:line="360" w:lineRule="auto"/>
        <w:ind w:firstLine="480" w:firstLineChars="200"/>
        <w:rPr>
          <w:sz w:val="24"/>
        </w:rPr>
      </w:pPr>
      <w:r>
        <w:rPr>
          <w:rFonts w:hint="eastAsia"/>
          <w:sz w:val="24"/>
        </w:rPr>
        <w:t>无。</w:t>
      </w:r>
    </w:p>
    <w:p>
      <w:pPr>
        <w:adjustRightInd w:val="0"/>
        <w:snapToGrid w:val="0"/>
        <w:spacing w:before="156" w:beforeLines="50" w:after="156" w:afterLines="50" w:line="360" w:lineRule="auto"/>
        <w:jc w:val="left"/>
        <w:rPr>
          <w:rFonts w:eastAsia="黑体"/>
          <w:kern w:val="0"/>
          <w:sz w:val="28"/>
          <w:szCs w:val="28"/>
        </w:rPr>
      </w:pPr>
      <w:r>
        <w:rPr>
          <w:rFonts w:eastAsia="黑体"/>
          <w:kern w:val="0"/>
          <w:sz w:val="28"/>
          <w:szCs w:val="28"/>
        </w:rPr>
        <w:t>九、 标准性质的建议说明</w:t>
      </w:r>
    </w:p>
    <w:p>
      <w:pPr>
        <w:adjustRightInd w:val="0"/>
        <w:snapToGrid w:val="0"/>
        <w:spacing w:before="156" w:beforeLines="50" w:after="156" w:afterLines="50" w:line="360" w:lineRule="auto"/>
        <w:ind w:firstLine="480" w:firstLineChars="200"/>
        <w:jc w:val="left"/>
        <w:rPr>
          <w:rFonts w:ascii="宋体" w:hAnsi="宋体"/>
          <w:kern w:val="0"/>
          <w:sz w:val="24"/>
        </w:rPr>
      </w:pPr>
      <w:r>
        <w:rPr>
          <w:rFonts w:hint="eastAsia" w:ascii="宋体" w:hAnsi="宋体"/>
          <w:kern w:val="0"/>
          <w:sz w:val="24"/>
        </w:rPr>
        <w:t>建议本标准的性质为推荐性团体标准。</w:t>
      </w:r>
    </w:p>
    <w:p>
      <w:pPr>
        <w:tabs>
          <w:tab w:val="left" w:pos="720"/>
          <w:tab w:val="left" w:pos="1559"/>
          <w:tab w:val="left" w:pos="3389"/>
          <w:tab w:val="left" w:pos="5328"/>
          <w:tab w:val="left" w:pos="6770"/>
          <w:tab w:val="left" w:pos="8320"/>
          <w:tab w:val="left" w:pos="9870"/>
          <w:tab w:val="left" w:pos="11420"/>
          <w:tab w:val="left" w:pos="13379"/>
        </w:tabs>
        <w:spacing w:before="156" w:beforeLines="50" w:after="156" w:afterLines="50" w:line="360" w:lineRule="auto"/>
        <w:rPr>
          <w:rFonts w:eastAsia="黑体"/>
          <w:kern w:val="0"/>
          <w:sz w:val="28"/>
          <w:szCs w:val="28"/>
        </w:rPr>
      </w:pPr>
      <w:r>
        <w:rPr>
          <w:rFonts w:hint="eastAsia" w:eastAsia="黑体"/>
          <w:kern w:val="0"/>
          <w:sz w:val="28"/>
          <w:szCs w:val="28"/>
        </w:rPr>
        <w:t>十、贯彻标准的要求和措施建议</w:t>
      </w:r>
    </w:p>
    <w:p>
      <w:pPr>
        <w:tabs>
          <w:tab w:val="left" w:pos="720"/>
          <w:tab w:val="left" w:pos="1559"/>
          <w:tab w:val="left" w:pos="3389"/>
          <w:tab w:val="left" w:pos="5328"/>
          <w:tab w:val="left" w:pos="6770"/>
          <w:tab w:val="left" w:pos="8320"/>
          <w:tab w:val="left" w:pos="9870"/>
          <w:tab w:val="left" w:pos="11420"/>
          <w:tab w:val="left" w:pos="13379"/>
        </w:tabs>
        <w:spacing w:line="360" w:lineRule="auto"/>
        <w:ind w:firstLine="480" w:firstLineChars="200"/>
        <w:rPr>
          <w:rFonts w:ascii="宋体" w:hAnsi="宋体"/>
          <w:kern w:val="0"/>
          <w:sz w:val="24"/>
        </w:rPr>
      </w:pPr>
      <w:r>
        <w:rPr>
          <w:rFonts w:hint="eastAsia" w:ascii="宋体" w:hAnsi="宋体"/>
          <w:kern w:val="0"/>
          <w:sz w:val="24"/>
        </w:rPr>
        <w:t>建议本标准批准发布6个月后实施。</w:t>
      </w:r>
    </w:p>
    <w:p>
      <w:pPr>
        <w:tabs>
          <w:tab w:val="left" w:pos="720"/>
          <w:tab w:val="left" w:pos="1559"/>
          <w:tab w:val="left" w:pos="3389"/>
          <w:tab w:val="left" w:pos="5328"/>
          <w:tab w:val="left" w:pos="6770"/>
          <w:tab w:val="left" w:pos="8320"/>
          <w:tab w:val="left" w:pos="9870"/>
          <w:tab w:val="left" w:pos="11420"/>
          <w:tab w:val="left" w:pos="13379"/>
        </w:tabs>
        <w:spacing w:line="360" w:lineRule="auto"/>
        <w:ind w:firstLine="480" w:firstLineChars="200"/>
        <w:rPr>
          <w:rFonts w:ascii="宋体" w:hAnsi="宋体"/>
          <w:kern w:val="0"/>
          <w:sz w:val="24"/>
        </w:rPr>
      </w:pPr>
      <w:r>
        <w:rPr>
          <w:rFonts w:hint="eastAsia" w:ascii="宋体" w:hAnsi="宋体"/>
          <w:kern w:val="0"/>
          <w:sz w:val="24"/>
        </w:rPr>
        <w:t>标准发布后由贵金属及珠宝玉石饰品企业标准联盟组织、主要起草单位全力配合进行全行业宣贯。</w:t>
      </w:r>
    </w:p>
    <w:p>
      <w:pPr>
        <w:spacing w:before="156" w:beforeLines="50" w:after="156" w:afterLines="50" w:line="360" w:lineRule="auto"/>
        <w:rPr>
          <w:rFonts w:eastAsia="黑体"/>
          <w:sz w:val="28"/>
          <w:szCs w:val="28"/>
        </w:rPr>
      </w:pPr>
      <w:r>
        <w:rPr>
          <w:rFonts w:eastAsia="黑体"/>
          <w:kern w:val="0"/>
          <w:sz w:val="28"/>
          <w:szCs w:val="28"/>
        </w:rPr>
        <w:t>十一、废止现行相关标准的建议</w:t>
      </w:r>
    </w:p>
    <w:p>
      <w:pPr>
        <w:spacing w:line="360" w:lineRule="auto"/>
        <w:ind w:firstLine="480" w:firstLineChars="200"/>
        <w:rPr>
          <w:sz w:val="24"/>
        </w:rPr>
      </w:pPr>
      <w:r>
        <w:rPr>
          <w:sz w:val="24"/>
        </w:rPr>
        <w:t>无。</w:t>
      </w:r>
    </w:p>
    <w:p>
      <w:pPr>
        <w:spacing w:before="156" w:beforeLines="50" w:after="156" w:afterLines="50" w:line="360" w:lineRule="auto"/>
        <w:rPr>
          <w:rFonts w:eastAsia="黑体"/>
          <w:kern w:val="0"/>
          <w:sz w:val="28"/>
          <w:szCs w:val="28"/>
        </w:rPr>
      </w:pPr>
      <w:r>
        <w:rPr>
          <w:rFonts w:eastAsia="黑体"/>
          <w:sz w:val="28"/>
          <w:szCs w:val="28"/>
        </w:rPr>
        <w:t>十二、</w:t>
      </w:r>
      <w:r>
        <w:rPr>
          <w:rFonts w:eastAsia="黑体"/>
          <w:kern w:val="0"/>
          <w:sz w:val="28"/>
          <w:szCs w:val="28"/>
        </w:rPr>
        <w:t>其它应予说明的事项</w:t>
      </w:r>
    </w:p>
    <w:p>
      <w:pPr>
        <w:spacing w:before="62" w:beforeLines="20" w:after="62" w:afterLines="20" w:line="360" w:lineRule="auto"/>
        <w:ind w:firstLine="480" w:firstLineChars="200"/>
        <w:rPr>
          <w:rFonts w:ascii="宋体" w:hAnsi="宋体"/>
          <w:kern w:val="0"/>
          <w:sz w:val="24"/>
        </w:rPr>
      </w:pPr>
      <w:r>
        <w:rPr>
          <w:rFonts w:hint="eastAsia" w:ascii="宋体" w:hAnsi="宋体"/>
          <w:sz w:val="24"/>
        </w:rPr>
        <w:t>无</w:t>
      </w:r>
    </w:p>
    <w:sectPr>
      <w:footerReference r:id="rId5" w:type="first"/>
      <w:footerReference r:id="rId3" w:type="default"/>
      <w:footerReference r:id="rId4" w:type="even"/>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fldChar w:fldCharType="begin"/>
    </w:r>
    <w:r>
      <w:rPr>
        <w:rStyle w:val="9"/>
      </w:rPr>
      <w:instrText xml:space="preserve"> PAGE </w:instrText>
    </w:r>
    <w:r>
      <w:fldChar w:fldCharType="separate"/>
    </w:r>
    <w:r>
      <w:rPr>
        <w:rStyle w:val="9"/>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fldChar w:fldCharType="begin"/>
    </w:r>
    <w:r>
      <w:rPr>
        <w:rStyle w:val="9"/>
      </w:rPr>
      <w:instrText xml:space="preserve"> PAGE </w:instrText>
    </w:r>
    <w:r>
      <w:fldChar w:fldCharType="separate"/>
    </w:r>
    <w:r>
      <w:rPr>
        <w:rStyle w:val="9"/>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612B68"/>
    <w:multiLevelType w:val="multilevel"/>
    <w:tmpl w:val="38612B68"/>
    <w:lvl w:ilvl="0" w:tentative="0">
      <w:start w:val="1"/>
      <w:numFmt w:val="japaneseCounting"/>
      <w:lvlText w:val="%1、"/>
      <w:lvlJc w:val="left"/>
      <w:pPr>
        <w:tabs>
          <w:tab w:val="left" w:pos="720"/>
        </w:tabs>
        <w:ind w:left="720" w:hanging="72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decimal"/>
      <w:lvlText w:val="%3．"/>
      <w:lvlJc w:val="left"/>
      <w:pPr>
        <w:tabs>
          <w:tab w:val="left" w:pos="720"/>
        </w:tabs>
        <w:ind w:left="72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08D"/>
    <w:rsid w:val="00001E93"/>
    <w:rsid w:val="000048F2"/>
    <w:rsid w:val="000050F1"/>
    <w:rsid w:val="0000541F"/>
    <w:rsid w:val="00010710"/>
    <w:rsid w:val="00017DD7"/>
    <w:rsid w:val="00020973"/>
    <w:rsid w:val="00021B64"/>
    <w:rsid w:val="00021B71"/>
    <w:rsid w:val="000259E5"/>
    <w:rsid w:val="00031172"/>
    <w:rsid w:val="000339A3"/>
    <w:rsid w:val="00034A40"/>
    <w:rsid w:val="0004121A"/>
    <w:rsid w:val="00042BEC"/>
    <w:rsid w:val="0004648E"/>
    <w:rsid w:val="00054F88"/>
    <w:rsid w:val="000573FF"/>
    <w:rsid w:val="00060D11"/>
    <w:rsid w:val="000633F1"/>
    <w:rsid w:val="00063838"/>
    <w:rsid w:val="0007491E"/>
    <w:rsid w:val="00074F74"/>
    <w:rsid w:val="0008120C"/>
    <w:rsid w:val="00083659"/>
    <w:rsid w:val="00086590"/>
    <w:rsid w:val="0009360A"/>
    <w:rsid w:val="00096886"/>
    <w:rsid w:val="000A2961"/>
    <w:rsid w:val="000B09B2"/>
    <w:rsid w:val="000B20D2"/>
    <w:rsid w:val="000C76E8"/>
    <w:rsid w:val="000D0810"/>
    <w:rsid w:val="000D6E5E"/>
    <w:rsid w:val="000E127F"/>
    <w:rsid w:val="00114AF8"/>
    <w:rsid w:val="00115482"/>
    <w:rsid w:val="0012299A"/>
    <w:rsid w:val="0012677D"/>
    <w:rsid w:val="001347C6"/>
    <w:rsid w:val="001352E7"/>
    <w:rsid w:val="0013766C"/>
    <w:rsid w:val="00137A52"/>
    <w:rsid w:val="00140CD3"/>
    <w:rsid w:val="00151182"/>
    <w:rsid w:val="00151E79"/>
    <w:rsid w:val="00155BEC"/>
    <w:rsid w:val="00155F57"/>
    <w:rsid w:val="00157C15"/>
    <w:rsid w:val="001615D4"/>
    <w:rsid w:val="00162F52"/>
    <w:rsid w:val="00166481"/>
    <w:rsid w:val="00172EC2"/>
    <w:rsid w:val="00176AF5"/>
    <w:rsid w:val="00177CF9"/>
    <w:rsid w:val="00186222"/>
    <w:rsid w:val="00192D83"/>
    <w:rsid w:val="001A193B"/>
    <w:rsid w:val="001A2E47"/>
    <w:rsid w:val="001A4786"/>
    <w:rsid w:val="001A6303"/>
    <w:rsid w:val="001A792E"/>
    <w:rsid w:val="001C2D13"/>
    <w:rsid w:val="001C77EF"/>
    <w:rsid w:val="001D1C74"/>
    <w:rsid w:val="001D30E9"/>
    <w:rsid w:val="001E55E0"/>
    <w:rsid w:val="001E69AB"/>
    <w:rsid w:val="002012F6"/>
    <w:rsid w:val="002023D8"/>
    <w:rsid w:val="00203A23"/>
    <w:rsid w:val="00207BEC"/>
    <w:rsid w:val="00212AC3"/>
    <w:rsid w:val="00217E8E"/>
    <w:rsid w:val="00221594"/>
    <w:rsid w:val="00222EB7"/>
    <w:rsid w:val="00223BA5"/>
    <w:rsid w:val="002350A2"/>
    <w:rsid w:val="0023765F"/>
    <w:rsid w:val="00243A3C"/>
    <w:rsid w:val="002507A7"/>
    <w:rsid w:val="00250BDC"/>
    <w:rsid w:val="0025299B"/>
    <w:rsid w:val="002534F4"/>
    <w:rsid w:val="0027200B"/>
    <w:rsid w:val="00276EEE"/>
    <w:rsid w:val="002778E1"/>
    <w:rsid w:val="00283F75"/>
    <w:rsid w:val="00284E0C"/>
    <w:rsid w:val="00285DB4"/>
    <w:rsid w:val="0029004F"/>
    <w:rsid w:val="00294046"/>
    <w:rsid w:val="00295491"/>
    <w:rsid w:val="002A1184"/>
    <w:rsid w:val="002A7DF1"/>
    <w:rsid w:val="002B0975"/>
    <w:rsid w:val="002B2EC4"/>
    <w:rsid w:val="002E0BDA"/>
    <w:rsid w:val="002F477E"/>
    <w:rsid w:val="002F6397"/>
    <w:rsid w:val="0030270A"/>
    <w:rsid w:val="00312491"/>
    <w:rsid w:val="0031252F"/>
    <w:rsid w:val="003161F7"/>
    <w:rsid w:val="0033344F"/>
    <w:rsid w:val="003604E6"/>
    <w:rsid w:val="00360663"/>
    <w:rsid w:val="003608A5"/>
    <w:rsid w:val="00366948"/>
    <w:rsid w:val="00377209"/>
    <w:rsid w:val="00377421"/>
    <w:rsid w:val="003806E8"/>
    <w:rsid w:val="00384C3E"/>
    <w:rsid w:val="00385B92"/>
    <w:rsid w:val="00387949"/>
    <w:rsid w:val="00395082"/>
    <w:rsid w:val="003A40C6"/>
    <w:rsid w:val="003A41D3"/>
    <w:rsid w:val="003A735D"/>
    <w:rsid w:val="003C2F57"/>
    <w:rsid w:val="003C308D"/>
    <w:rsid w:val="003D1576"/>
    <w:rsid w:val="003D1AB9"/>
    <w:rsid w:val="003D7048"/>
    <w:rsid w:val="003D738C"/>
    <w:rsid w:val="003E03E6"/>
    <w:rsid w:val="003E67C9"/>
    <w:rsid w:val="003F067A"/>
    <w:rsid w:val="00400D09"/>
    <w:rsid w:val="00400EF7"/>
    <w:rsid w:val="00404C75"/>
    <w:rsid w:val="00423CE0"/>
    <w:rsid w:val="00424CB9"/>
    <w:rsid w:val="00444FBB"/>
    <w:rsid w:val="00447813"/>
    <w:rsid w:val="004713C9"/>
    <w:rsid w:val="004721EA"/>
    <w:rsid w:val="004753A4"/>
    <w:rsid w:val="004839FF"/>
    <w:rsid w:val="004863D4"/>
    <w:rsid w:val="00493355"/>
    <w:rsid w:val="00496EAD"/>
    <w:rsid w:val="00496FC1"/>
    <w:rsid w:val="004A2B03"/>
    <w:rsid w:val="004C520C"/>
    <w:rsid w:val="004C6B97"/>
    <w:rsid w:val="004D5CD3"/>
    <w:rsid w:val="004D6B28"/>
    <w:rsid w:val="004E0A2B"/>
    <w:rsid w:val="004E117B"/>
    <w:rsid w:val="004E1748"/>
    <w:rsid w:val="004E3B15"/>
    <w:rsid w:val="004E6838"/>
    <w:rsid w:val="004E79D9"/>
    <w:rsid w:val="00500D20"/>
    <w:rsid w:val="00500E5F"/>
    <w:rsid w:val="00501A43"/>
    <w:rsid w:val="00501F7F"/>
    <w:rsid w:val="00505063"/>
    <w:rsid w:val="005057FC"/>
    <w:rsid w:val="00512042"/>
    <w:rsid w:val="00514942"/>
    <w:rsid w:val="00515D43"/>
    <w:rsid w:val="00525D2A"/>
    <w:rsid w:val="00535D18"/>
    <w:rsid w:val="00542AEC"/>
    <w:rsid w:val="00556D72"/>
    <w:rsid w:val="00560819"/>
    <w:rsid w:val="00563AA6"/>
    <w:rsid w:val="00563F04"/>
    <w:rsid w:val="00571507"/>
    <w:rsid w:val="00577CE2"/>
    <w:rsid w:val="005A5172"/>
    <w:rsid w:val="005B59E4"/>
    <w:rsid w:val="005C1C5E"/>
    <w:rsid w:val="005C204A"/>
    <w:rsid w:val="005C562A"/>
    <w:rsid w:val="005C6180"/>
    <w:rsid w:val="005C6305"/>
    <w:rsid w:val="005C70DA"/>
    <w:rsid w:val="005C7C6B"/>
    <w:rsid w:val="005D5FD3"/>
    <w:rsid w:val="005D60AE"/>
    <w:rsid w:val="005D714F"/>
    <w:rsid w:val="005E3F2E"/>
    <w:rsid w:val="005E54AA"/>
    <w:rsid w:val="005E7E94"/>
    <w:rsid w:val="005F0B07"/>
    <w:rsid w:val="005F6CBA"/>
    <w:rsid w:val="00603FDD"/>
    <w:rsid w:val="00636697"/>
    <w:rsid w:val="00654BAC"/>
    <w:rsid w:val="00660049"/>
    <w:rsid w:val="00665F99"/>
    <w:rsid w:val="0067341F"/>
    <w:rsid w:val="006813CD"/>
    <w:rsid w:val="0069029D"/>
    <w:rsid w:val="006A3FCD"/>
    <w:rsid w:val="006A45DF"/>
    <w:rsid w:val="006A6EA4"/>
    <w:rsid w:val="006B27E2"/>
    <w:rsid w:val="006B3690"/>
    <w:rsid w:val="006C5729"/>
    <w:rsid w:val="006C7623"/>
    <w:rsid w:val="006D06CB"/>
    <w:rsid w:val="006D0E1F"/>
    <w:rsid w:val="006D4860"/>
    <w:rsid w:val="006D6B60"/>
    <w:rsid w:val="006D6DC2"/>
    <w:rsid w:val="006E6A30"/>
    <w:rsid w:val="006E74AD"/>
    <w:rsid w:val="006E77BA"/>
    <w:rsid w:val="006F312D"/>
    <w:rsid w:val="00707D91"/>
    <w:rsid w:val="007107CD"/>
    <w:rsid w:val="00717417"/>
    <w:rsid w:val="00731F8B"/>
    <w:rsid w:val="00736D53"/>
    <w:rsid w:val="00742A72"/>
    <w:rsid w:val="00743C67"/>
    <w:rsid w:val="00743F95"/>
    <w:rsid w:val="007527C5"/>
    <w:rsid w:val="00752CB2"/>
    <w:rsid w:val="007532C3"/>
    <w:rsid w:val="0076111F"/>
    <w:rsid w:val="00763AD2"/>
    <w:rsid w:val="00770107"/>
    <w:rsid w:val="007725A4"/>
    <w:rsid w:val="00772BAA"/>
    <w:rsid w:val="00775EAB"/>
    <w:rsid w:val="00780B79"/>
    <w:rsid w:val="00781BC9"/>
    <w:rsid w:val="0078310F"/>
    <w:rsid w:val="00785060"/>
    <w:rsid w:val="00785D31"/>
    <w:rsid w:val="007921B8"/>
    <w:rsid w:val="0079344B"/>
    <w:rsid w:val="00796603"/>
    <w:rsid w:val="00796C58"/>
    <w:rsid w:val="007A2191"/>
    <w:rsid w:val="007A3566"/>
    <w:rsid w:val="007A3E74"/>
    <w:rsid w:val="007B3EC4"/>
    <w:rsid w:val="007B6806"/>
    <w:rsid w:val="007C0294"/>
    <w:rsid w:val="007C4C84"/>
    <w:rsid w:val="007C5AF3"/>
    <w:rsid w:val="007E069B"/>
    <w:rsid w:val="007E3747"/>
    <w:rsid w:val="007E4E80"/>
    <w:rsid w:val="007E6A64"/>
    <w:rsid w:val="007E7BAC"/>
    <w:rsid w:val="007F087E"/>
    <w:rsid w:val="007F452C"/>
    <w:rsid w:val="007F6EEC"/>
    <w:rsid w:val="00804F8F"/>
    <w:rsid w:val="008050B6"/>
    <w:rsid w:val="008108B0"/>
    <w:rsid w:val="00812BD9"/>
    <w:rsid w:val="008159CE"/>
    <w:rsid w:val="008245C4"/>
    <w:rsid w:val="008252DF"/>
    <w:rsid w:val="008257BC"/>
    <w:rsid w:val="0083219A"/>
    <w:rsid w:val="008450C5"/>
    <w:rsid w:val="00847C1B"/>
    <w:rsid w:val="00852420"/>
    <w:rsid w:val="00854312"/>
    <w:rsid w:val="00863F4C"/>
    <w:rsid w:val="00865D12"/>
    <w:rsid w:val="008803A4"/>
    <w:rsid w:val="00881705"/>
    <w:rsid w:val="0088753E"/>
    <w:rsid w:val="008915CD"/>
    <w:rsid w:val="0089748E"/>
    <w:rsid w:val="008A1D67"/>
    <w:rsid w:val="008A4E15"/>
    <w:rsid w:val="008B1945"/>
    <w:rsid w:val="008B484A"/>
    <w:rsid w:val="008B4D8B"/>
    <w:rsid w:val="008D165B"/>
    <w:rsid w:val="008D41D7"/>
    <w:rsid w:val="008E2775"/>
    <w:rsid w:val="008E583D"/>
    <w:rsid w:val="008F423F"/>
    <w:rsid w:val="008F6BB6"/>
    <w:rsid w:val="00900B84"/>
    <w:rsid w:val="0092265D"/>
    <w:rsid w:val="0093290A"/>
    <w:rsid w:val="009368F5"/>
    <w:rsid w:val="00957C95"/>
    <w:rsid w:val="009652B4"/>
    <w:rsid w:val="00965339"/>
    <w:rsid w:val="009656A3"/>
    <w:rsid w:val="0097717F"/>
    <w:rsid w:val="00982257"/>
    <w:rsid w:val="0098522F"/>
    <w:rsid w:val="00985FFA"/>
    <w:rsid w:val="00997089"/>
    <w:rsid w:val="009A633C"/>
    <w:rsid w:val="009C220A"/>
    <w:rsid w:val="009C5418"/>
    <w:rsid w:val="009D2F38"/>
    <w:rsid w:val="009E5E65"/>
    <w:rsid w:val="009E6B23"/>
    <w:rsid w:val="009F03ED"/>
    <w:rsid w:val="009F106E"/>
    <w:rsid w:val="009F29EE"/>
    <w:rsid w:val="00A01499"/>
    <w:rsid w:val="00A042AE"/>
    <w:rsid w:val="00A11796"/>
    <w:rsid w:val="00A14B7E"/>
    <w:rsid w:val="00A159AE"/>
    <w:rsid w:val="00A16185"/>
    <w:rsid w:val="00A218FE"/>
    <w:rsid w:val="00A22587"/>
    <w:rsid w:val="00A242EC"/>
    <w:rsid w:val="00A324FB"/>
    <w:rsid w:val="00A42CE1"/>
    <w:rsid w:val="00A44340"/>
    <w:rsid w:val="00A50390"/>
    <w:rsid w:val="00A51987"/>
    <w:rsid w:val="00A60D33"/>
    <w:rsid w:val="00A677DF"/>
    <w:rsid w:val="00A67CC1"/>
    <w:rsid w:val="00A67E75"/>
    <w:rsid w:val="00A80811"/>
    <w:rsid w:val="00A8556F"/>
    <w:rsid w:val="00A90665"/>
    <w:rsid w:val="00A9349C"/>
    <w:rsid w:val="00AA13BB"/>
    <w:rsid w:val="00AA2577"/>
    <w:rsid w:val="00AA791F"/>
    <w:rsid w:val="00AB5DBC"/>
    <w:rsid w:val="00AC27D9"/>
    <w:rsid w:val="00AC42C7"/>
    <w:rsid w:val="00AC54BE"/>
    <w:rsid w:val="00AD0DC0"/>
    <w:rsid w:val="00AD1805"/>
    <w:rsid w:val="00AD1FB3"/>
    <w:rsid w:val="00AD509E"/>
    <w:rsid w:val="00AD51B6"/>
    <w:rsid w:val="00AD5847"/>
    <w:rsid w:val="00AD6503"/>
    <w:rsid w:val="00AD76BE"/>
    <w:rsid w:val="00AE1DA5"/>
    <w:rsid w:val="00AE2124"/>
    <w:rsid w:val="00AE6F74"/>
    <w:rsid w:val="00AF27FF"/>
    <w:rsid w:val="00AF6623"/>
    <w:rsid w:val="00B002BE"/>
    <w:rsid w:val="00B101F7"/>
    <w:rsid w:val="00B11672"/>
    <w:rsid w:val="00B17DA9"/>
    <w:rsid w:val="00B218C9"/>
    <w:rsid w:val="00B22362"/>
    <w:rsid w:val="00B24ED5"/>
    <w:rsid w:val="00B458CB"/>
    <w:rsid w:val="00B54C67"/>
    <w:rsid w:val="00B55DB4"/>
    <w:rsid w:val="00B561CF"/>
    <w:rsid w:val="00B712AD"/>
    <w:rsid w:val="00B82079"/>
    <w:rsid w:val="00B82B8A"/>
    <w:rsid w:val="00B93992"/>
    <w:rsid w:val="00B94305"/>
    <w:rsid w:val="00BA01E6"/>
    <w:rsid w:val="00BA5DF1"/>
    <w:rsid w:val="00BA6D18"/>
    <w:rsid w:val="00BB1C46"/>
    <w:rsid w:val="00BB260F"/>
    <w:rsid w:val="00BC2838"/>
    <w:rsid w:val="00BC312D"/>
    <w:rsid w:val="00BC59E0"/>
    <w:rsid w:val="00BC5FCE"/>
    <w:rsid w:val="00BC68E7"/>
    <w:rsid w:val="00BD02AB"/>
    <w:rsid w:val="00BD2178"/>
    <w:rsid w:val="00BE414C"/>
    <w:rsid w:val="00BE7A3A"/>
    <w:rsid w:val="00BF0026"/>
    <w:rsid w:val="00C00A2F"/>
    <w:rsid w:val="00C01DB7"/>
    <w:rsid w:val="00C03632"/>
    <w:rsid w:val="00C04E38"/>
    <w:rsid w:val="00C062AD"/>
    <w:rsid w:val="00C1049A"/>
    <w:rsid w:val="00C20D4E"/>
    <w:rsid w:val="00C217F8"/>
    <w:rsid w:val="00C25444"/>
    <w:rsid w:val="00C262E7"/>
    <w:rsid w:val="00C323D5"/>
    <w:rsid w:val="00C337C3"/>
    <w:rsid w:val="00C35BFB"/>
    <w:rsid w:val="00C42FCA"/>
    <w:rsid w:val="00C44FC0"/>
    <w:rsid w:val="00C47605"/>
    <w:rsid w:val="00C5105D"/>
    <w:rsid w:val="00C5392B"/>
    <w:rsid w:val="00C53A0E"/>
    <w:rsid w:val="00C54456"/>
    <w:rsid w:val="00C56B93"/>
    <w:rsid w:val="00C6329B"/>
    <w:rsid w:val="00C6693F"/>
    <w:rsid w:val="00C7799F"/>
    <w:rsid w:val="00C80797"/>
    <w:rsid w:val="00C8410B"/>
    <w:rsid w:val="00C852D5"/>
    <w:rsid w:val="00C90F43"/>
    <w:rsid w:val="00C93639"/>
    <w:rsid w:val="00C936E5"/>
    <w:rsid w:val="00CA63A5"/>
    <w:rsid w:val="00CB27DF"/>
    <w:rsid w:val="00CB5A01"/>
    <w:rsid w:val="00CC675D"/>
    <w:rsid w:val="00CD098F"/>
    <w:rsid w:val="00CD1158"/>
    <w:rsid w:val="00CD72C1"/>
    <w:rsid w:val="00CE040D"/>
    <w:rsid w:val="00CE3582"/>
    <w:rsid w:val="00CE488A"/>
    <w:rsid w:val="00CE6468"/>
    <w:rsid w:val="00CE69BA"/>
    <w:rsid w:val="00CF03A0"/>
    <w:rsid w:val="00CF455E"/>
    <w:rsid w:val="00D02B35"/>
    <w:rsid w:val="00D02F3E"/>
    <w:rsid w:val="00D0396F"/>
    <w:rsid w:val="00D03BEF"/>
    <w:rsid w:val="00D1214F"/>
    <w:rsid w:val="00D12A15"/>
    <w:rsid w:val="00D15BFE"/>
    <w:rsid w:val="00D23235"/>
    <w:rsid w:val="00D431E5"/>
    <w:rsid w:val="00D4445C"/>
    <w:rsid w:val="00D47761"/>
    <w:rsid w:val="00D52307"/>
    <w:rsid w:val="00D53463"/>
    <w:rsid w:val="00D57AE9"/>
    <w:rsid w:val="00D71347"/>
    <w:rsid w:val="00D73022"/>
    <w:rsid w:val="00D81E4D"/>
    <w:rsid w:val="00D93BE0"/>
    <w:rsid w:val="00D958C2"/>
    <w:rsid w:val="00DA4C07"/>
    <w:rsid w:val="00DA722D"/>
    <w:rsid w:val="00DB4127"/>
    <w:rsid w:val="00DC069B"/>
    <w:rsid w:val="00DC3CDB"/>
    <w:rsid w:val="00DD39E5"/>
    <w:rsid w:val="00E032B5"/>
    <w:rsid w:val="00E0409A"/>
    <w:rsid w:val="00E22A2E"/>
    <w:rsid w:val="00E261B6"/>
    <w:rsid w:val="00E33FC0"/>
    <w:rsid w:val="00E3660B"/>
    <w:rsid w:val="00E528EE"/>
    <w:rsid w:val="00E53717"/>
    <w:rsid w:val="00E6225C"/>
    <w:rsid w:val="00E80FC6"/>
    <w:rsid w:val="00E84F54"/>
    <w:rsid w:val="00E9153C"/>
    <w:rsid w:val="00EA3046"/>
    <w:rsid w:val="00EB1BA3"/>
    <w:rsid w:val="00EB6677"/>
    <w:rsid w:val="00EB6DB0"/>
    <w:rsid w:val="00EC2C85"/>
    <w:rsid w:val="00EC31BF"/>
    <w:rsid w:val="00EC4D5E"/>
    <w:rsid w:val="00ED401D"/>
    <w:rsid w:val="00ED4DB5"/>
    <w:rsid w:val="00ED51A5"/>
    <w:rsid w:val="00EE00B8"/>
    <w:rsid w:val="00EE6BFA"/>
    <w:rsid w:val="00EF228C"/>
    <w:rsid w:val="00F02E1B"/>
    <w:rsid w:val="00F05168"/>
    <w:rsid w:val="00F10F13"/>
    <w:rsid w:val="00F17C4E"/>
    <w:rsid w:val="00F24E32"/>
    <w:rsid w:val="00F41AB0"/>
    <w:rsid w:val="00F45C84"/>
    <w:rsid w:val="00F541B9"/>
    <w:rsid w:val="00F56FA9"/>
    <w:rsid w:val="00F62BC7"/>
    <w:rsid w:val="00F65916"/>
    <w:rsid w:val="00F665DD"/>
    <w:rsid w:val="00F717CF"/>
    <w:rsid w:val="00F83ED1"/>
    <w:rsid w:val="00F843EA"/>
    <w:rsid w:val="00F866B6"/>
    <w:rsid w:val="00F9438C"/>
    <w:rsid w:val="00F96B47"/>
    <w:rsid w:val="00F97A3B"/>
    <w:rsid w:val="00FA1E50"/>
    <w:rsid w:val="00FA5E40"/>
    <w:rsid w:val="00FB5551"/>
    <w:rsid w:val="00FB7675"/>
    <w:rsid w:val="00FC4AF5"/>
    <w:rsid w:val="00FD0DE8"/>
    <w:rsid w:val="00FD1527"/>
    <w:rsid w:val="00FD22FA"/>
    <w:rsid w:val="00FD3291"/>
    <w:rsid w:val="00FE5E52"/>
    <w:rsid w:val="00FF5C4F"/>
    <w:rsid w:val="06BA6064"/>
    <w:rsid w:val="086C3A97"/>
    <w:rsid w:val="0E1750FB"/>
    <w:rsid w:val="10017F38"/>
    <w:rsid w:val="1252110F"/>
    <w:rsid w:val="18F04FD2"/>
    <w:rsid w:val="19780B7B"/>
    <w:rsid w:val="21C63DBA"/>
    <w:rsid w:val="22B473B8"/>
    <w:rsid w:val="25DA2AA8"/>
    <w:rsid w:val="26114D9B"/>
    <w:rsid w:val="2714405D"/>
    <w:rsid w:val="28D07998"/>
    <w:rsid w:val="29180221"/>
    <w:rsid w:val="2BA233C8"/>
    <w:rsid w:val="2BC87603"/>
    <w:rsid w:val="2EFE3B91"/>
    <w:rsid w:val="31394B39"/>
    <w:rsid w:val="34BD557C"/>
    <w:rsid w:val="3E190FD5"/>
    <w:rsid w:val="3FA56554"/>
    <w:rsid w:val="40462B81"/>
    <w:rsid w:val="411E2251"/>
    <w:rsid w:val="41CE12BB"/>
    <w:rsid w:val="451736D2"/>
    <w:rsid w:val="4C843948"/>
    <w:rsid w:val="4C9A5FDC"/>
    <w:rsid w:val="4E093DCF"/>
    <w:rsid w:val="4FDD4DBF"/>
    <w:rsid w:val="4FE3451C"/>
    <w:rsid w:val="556E620B"/>
    <w:rsid w:val="5AA82558"/>
    <w:rsid w:val="5DAF0B7E"/>
    <w:rsid w:val="5E426224"/>
    <w:rsid w:val="60A55485"/>
    <w:rsid w:val="63DA786B"/>
    <w:rsid w:val="64D23548"/>
    <w:rsid w:val="6A8C32C1"/>
    <w:rsid w:val="6BE47535"/>
    <w:rsid w:val="6D21350E"/>
    <w:rsid w:val="6FC6039D"/>
    <w:rsid w:val="7AD017AC"/>
    <w:rsid w:val="7B6B1565"/>
    <w:rsid w:val="7C263C45"/>
    <w:rsid w:val="7D5214C2"/>
    <w:rsid w:val="7FF86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Date"/>
    <w:basedOn w:val="1"/>
    <w:next w:val="1"/>
    <w:uiPriority w:val="0"/>
    <w:pPr>
      <w:ind w:left="100" w:leftChars="25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qFormat/>
    <w:uiPriority w:val="0"/>
    <w:pPr>
      <w:ind w:firstLine="420" w:firstLineChars="100"/>
    </w:pPr>
  </w:style>
  <w:style w:type="character" w:styleId="9">
    <w:name w:val="page number"/>
    <w:basedOn w:val="8"/>
    <w:qFormat/>
    <w:uiPriority w:val="0"/>
  </w:style>
  <w:style w:type="character" w:customStyle="1" w:styleId="10">
    <w:name w:val="answerref"/>
    <w:basedOn w:val="8"/>
    <w:qFormat/>
    <w:uiPriority w:val="0"/>
  </w:style>
  <w:style w:type="paragraph" w:customStyle="1" w:styleId="1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5</Pages>
  <Words>2859</Words>
  <Characters>2923</Characters>
  <Lines>19</Lines>
  <Paragraphs>5</Paragraphs>
  <TotalTime>1</TotalTime>
  <ScaleCrop>false</ScaleCrop>
  <LinksUpToDate>false</LinksUpToDate>
  <CharactersWithSpaces>2937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2021-03-16T21:04:00Z</dcterms:created>
  <dc:creator>雨林木风</dc:creator>
  <cp:lastModifiedBy>罗雪莹</cp:lastModifiedBy>
  <cp:lastPrinted>2017-02-20T21:54:00Z</cp:lastPrinted>
  <dcterms:modified xsi:type="dcterms:W3CDTF">2022-04-12T03:35:31Z</dcterms:modified>
  <dc:title>联盟标准《铂、钯饰品合金成分》</dc:title>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E28F36AF634E4C61A15AADB49D699B16</vt:lpwstr>
  </property>
</Properties>
</file>